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7F240" w14:textId="2AC00D5D" w:rsidR="006320FA" w:rsidRPr="00585767" w:rsidRDefault="006320FA" w:rsidP="005C2304">
      <w:pPr>
        <w:tabs>
          <w:tab w:val="left" w:pos="7110"/>
        </w:tabs>
        <w:spacing w:line="240" w:lineRule="auto"/>
        <w:jc w:val="right"/>
      </w:pPr>
      <w:r w:rsidRPr="00585767">
        <w:t xml:space="preserve">ORDER NO. </w:t>
      </w:r>
      <w:r w:rsidR="00DA7011">
        <w:t>6429</w:t>
      </w:r>
    </w:p>
    <w:p w14:paraId="722570F7" w14:textId="77777777" w:rsidR="006320FA" w:rsidRPr="00585767" w:rsidRDefault="006320FA" w:rsidP="00D21795">
      <w:pPr>
        <w:spacing w:line="240" w:lineRule="auto"/>
        <w:ind w:firstLine="0"/>
        <w:jc w:val="center"/>
      </w:pPr>
    </w:p>
    <w:p w14:paraId="216BAD44" w14:textId="77777777" w:rsidR="00F0453D" w:rsidRPr="00585767" w:rsidRDefault="00F0453D" w:rsidP="00D21795">
      <w:pPr>
        <w:spacing w:line="240" w:lineRule="auto"/>
        <w:ind w:firstLine="0"/>
        <w:jc w:val="center"/>
      </w:pPr>
    </w:p>
    <w:p w14:paraId="3AE2D528" w14:textId="77777777" w:rsidR="00D22D92" w:rsidRPr="00585767" w:rsidRDefault="00D22D92" w:rsidP="00D21795">
      <w:pPr>
        <w:spacing w:line="240" w:lineRule="auto"/>
        <w:ind w:firstLine="0"/>
        <w:jc w:val="center"/>
      </w:pPr>
    </w:p>
    <w:p w14:paraId="2B183600" w14:textId="77777777" w:rsidR="0065098C" w:rsidRPr="00585767" w:rsidRDefault="006320FA" w:rsidP="00345871">
      <w:pPr>
        <w:spacing w:line="240" w:lineRule="auto"/>
        <w:ind w:firstLine="0"/>
        <w:jc w:val="center"/>
      </w:pPr>
      <w:r w:rsidRPr="00585767">
        <w:t>UNITED STATES OF AMERICA</w:t>
      </w:r>
    </w:p>
    <w:p w14:paraId="5ADC6900" w14:textId="77777777" w:rsidR="0065098C" w:rsidRPr="00585767" w:rsidRDefault="006320FA" w:rsidP="0065098C">
      <w:pPr>
        <w:spacing w:line="240" w:lineRule="auto"/>
        <w:ind w:firstLine="0"/>
        <w:jc w:val="center"/>
      </w:pPr>
      <w:r w:rsidRPr="00585767">
        <w:t>POSTAL REGULATORY COMMISSION</w:t>
      </w:r>
    </w:p>
    <w:p w14:paraId="54B51E62" w14:textId="77777777" w:rsidR="006320FA" w:rsidRPr="00585767" w:rsidRDefault="006320FA" w:rsidP="0065098C">
      <w:pPr>
        <w:spacing w:line="240" w:lineRule="auto"/>
        <w:ind w:firstLine="0"/>
        <w:jc w:val="center"/>
      </w:pPr>
      <w:r w:rsidRPr="00585767">
        <w:t>WASHINGTON, DC 20268-0001</w:t>
      </w:r>
    </w:p>
    <w:p w14:paraId="435B7955" w14:textId="77777777" w:rsidR="006320FA" w:rsidRPr="00585767" w:rsidRDefault="006320FA" w:rsidP="00DA1CA1">
      <w:pPr>
        <w:spacing w:line="240" w:lineRule="auto"/>
        <w:ind w:firstLine="0"/>
        <w:jc w:val="center"/>
      </w:pPr>
    </w:p>
    <w:p w14:paraId="274A82A7" w14:textId="77777777" w:rsidR="006320FA" w:rsidRPr="00585767" w:rsidRDefault="006320FA" w:rsidP="00DA1CA1">
      <w:pPr>
        <w:spacing w:line="240" w:lineRule="auto"/>
        <w:ind w:firstLine="0"/>
        <w:jc w:val="center"/>
      </w:pPr>
    </w:p>
    <w:p w14:paraId="70831329" w14:textId="77777777" w:rsidR="006320FA" w:rsidRPr="00585767" w:rsidRDefault="006320FA" w:rsidP="00DA1CA1">
      <w:pPr>
        <w:spacing w:line="240" w:lineRule="auto"/>
        <w:ind w:firstLine="0"/>
        <w:jc w:val="center"/>
      </w:pPr>
    </w:p>
    <w:p w14:paraId="143C2C89" w14:textId="77777777" w:rsidR="004D5911" w:rsidRDefault="003578E6" w:rsidP="004D5911">
      <w:pPr>
        <w:pStyle w:val="NormalLeft"/>
        <w:spacing w:line="240" w:lineRule="auto"/>
        <w:ind w:left="5400" w:hanging="5400"/>
        <w:rPr>
          <w:rFonts w:cs="Arial"/>
        </w:rPr>
      </w:pPr>
      <w:r w:rsidRPr="00585767">
        <w:rPr>
          <w:rFonts w:cs="Arial"/>
        </w:rPr>
        <w:t>Before Commissioners:</w:t>
      </w:r>
      <w:r w:rsidRPr="00585767">
        <w:rPr>
          <w:rFonts w:cs="Arial"/>
        </w:rPr>
        <w:tab/>
      </w:r>
      <w:r w:rsidR="004D5911">
        <w:rPr>
          <w:rFonts w:cs="Arial"/>
        </w:rPr>
        <w:t xml:space="preserve">Michael Kubayanda, </w:t>
      </w:r>
      <w:proofErr w:type="gramStart"/>
      <w:r w:rsidR="004D5911">
        <w:rPr>
          <w:rFonts w:cs="Arial"/>
        </w:rPr>
        <w:t>Chairman;</w:t>
      </w:r>
      <w:proofErr w:type="gramEnd"/>
    </w:p>
    <w:p w14:paraId="63854627" w14:textId="6B978F13" w:rsidR="004D5911" w:rsidRDefault="00947020" w:rsidP="004D5911">
      <w:pPr>
        <w:pStyle w:val="NormalLeft"/>
        <w:spacing w:line="240" w:lineRule="auto"/>
        <w:ind w:left="5400"/>
        <w:rPr>
          <w:rFonts w:cs="Arial"/>
        </w:rPr>
      </w:pPr>
      <w:r>
        <w:rPr>
          <w:rFonts w:cs="Arial"/>
        </w:rPr>
        <w:t>Mark Acton</w:t>
      </w:r>
      <w:r w:rsidR="004D5911">
        <w:rPr>
          <w:rFonts w:cs="Arial"/>
        </w:rPr>
        <w:t>, Vice Chairman;</w:t>
      </w:r>
      <w:r w:rsidR="004D5911">
        <w:rPr>
          <w:rFonts w:cs="Arial"/>
        </w:rPr>
        <w:br/>
      </w:r>
      <w:r>
        <w:rPr>
          <w:rFonts w:cs="Arial"/>
        </w:rPr>
        <w:t xml:space="preserve">Ann C. </w:t>
      </w:r>
      <w:proofErr w:type="gramStart"/>
      <w:r>
        <w:rPr>
          <w:rFonts w:cs="Arial"/>
        </w:rPr>
        <w:t>Fisher</w:t>
      </w:r>
      <w:r w:rsidR="004D5911">
        <w:rPr>
          <w:rFonts w:cs="Arial"/>
        </w:rPr>
        <w:t>;</w:t>
      </w:r>
      <w:proofErr w:type="gramEnd"/>
    </w:p>
    <w:p w14:paraId="0AE143D4" w14:textId="77777777" w:rsidR="004D5911" w:rsidRDefault="004D5911" w:rsidP="004D5911">
      <w:pPr>
        <w:pStyle w:val="NormalLeft"/>
        <w:spacing w:line="240" w:lineRule="auto"/>
        <w:ind w:left="5040" w:firstLine="360"/>
        <w:rPr>
          <w:rFonts w:cs="Arial"/>
        </w:rPr>
      </w:pPr>
      <w:r>
        <w:rPr>
          <w:rFonts w:cs="Arial"/>
        </w:rPr>
        <w:t>Ashley E. Poling; and</w:t>
      </w:r>
    </w:p>
    <w:p w14:paraId="7EF3C094" w14:textId="77777777" w:rsidR="004D5911" w:rsidRDefault="004D5911" w:rsidP="004D5911">
      <w:pPr>
        <w:pStyle w:val="NormalLeft"/>
        <w:spacing w:line="240" w:lineRule="auto"/>
        <w:ind w:left="5040" w:firstLine="360"/>
        <w:rPr>
          <w:rFonts w:cs="Arial"/>
        </w:rPr>
      </w:pPr>
      <w:r>
        <w:rPr>
          <w:rFonts w:cs="Arial"/>
        </w:rPr>
        <w:t>Robert G. Taub</w:t>
      </w:r>
    </w:p>
    <w:p w14:paraId="710F0014" w14:textId="33B3CFEB" w:rsidR="006320FA" w:rsidRPr="00585767" w:rsidRDefault="006320FA" w:rsidP="00DA1CA1">
      <w:pPr>
        <w:pStyle w:val="NormalLeft"/>
        <w:spacing w:line="240" w:lineRule="auto"/>
        <w:ind w:left="5040" w:hanging="5040"/>
        <w:jc w:val="center"/>
      </w:pPr>
    </w:p>
    <w:p w14:paraId="272AD4CB" w14:textId="77777777" w:rsidR="006320FA" w:rsidRPr="00585767" w:rsidRDefault="006320FA" w:rsidP="00DA1CA1">
      <w:pPr>
        <w:pStyle w:val="NormalLeft"/>
        <w:spacing w:line="240" w:lineRule="auto"/>
        <w:jc w:val="center"/>
      </w:pPr>
    </w:p>
    <w:p w14:paraId="31323FEC" w14:textId="3B82D180" w:rsidR="006320FA" w:rsidRPr="00585767" w:rsidRDefault="006320FA" w:rsidP="005C2304">
      <w:pPr>
        <w:pStyle w:val="StyleNormalLeftLinespacingsingle"/>
        <w:tabs>
          <w:tab w:val="left" w:pos="7020"/>
        </w:tabs>
      </w:pPr>
      <w:r w:rsidRPr="00585767">
        <w:t>Annual Compliance Report</w:t>
      </w:r>
      <w:r w:rsidR="00464C08" w:rsidRPr="00585767">
        <w:t>,</w:t>
      </w:r>
      <w:r w:rsidR="006725A2" w:rsidRPr="00585767">
        <w:t xml:space="preserve"> 20</w:t>
      </w:r>
      <w:r w:rsidR="004D5911">
        <w:t>2</w:t>
      </w:r>
      <w:r w:rsidR="000B3664">
        <w:t>2</w:t>
      </w:r>
      <w:r w:rsidRPr="00585767">
        <w:tab/>
        <w:t xml:space="preserve">Docket No. </w:t>
      </w:r>
      <w:smartTag w:uri="urn:schemas-microsoft-com:office:smarttags" w:element="stockticker">
        <w:r w:rsidRPr="00585767">
          <w:t>ACR</w:t>
        </w:r>
      </w:smartTag>
      <w:r w:rsidR="00701991" w:rsidRPr="00585767">
        <w:t>20</w:t>
      </w:r>
      <w:r w:rsidR="004D5911">
        <w:t>2</w:t>
      </w:r>
      <w:r w:rsidR="000B3664">
        <w:t>2</w:t>
      </w:r>
    </w:p>
    <w:p w14:paraId="6FCB01D8" w14:textId="6B141A67" w:rsidR="006320FA" w:rsidRDefault="006320FA" w:rsidP="00DA1CA1">
      <w:pPr>
        <w:pStyle w:val="StyleNormalLeftLinespacingsingle"/>
        <w:jc w:val="center"/>
      </w:pPr>
    </w:p>
    <w:p w14:paraId="7D45BF99" w14:textId="77777777" w:rsidR="000C3898" w:rsidRPr="00585767" w:rsidRDefault="000C3898" w:rsidP="00DA1CA1">
      <w:pPr>
        <w:pStyle w:val="StyleNormalLeftLinespacingsingle"/>
        <w:jc w:val="center"/>
      </w:pPr>
    </w:p>
    <w:p w14:paraId="1AD37160" w14:textId="77777777" w:rsidR="006320FA" w:rsidRPr="00585767" w:rsidRDefault="006320FA" w:rsidP="00DA1CA1">
      <w:pPr>
        <w:pStyle w:val="StyleNormalLeftLinespacingsingle"/>
        <w:jc w:val="center"/>
      </w:pPr>
    </w:p>
    <w:p w14:paraId="3CB1358F" w14:textId="77777777" w:rsidR="00B874C6" w:rsidRPr="00585767" w:rsidRDefault="0041059C" w:rsidP="005C321A">
      <w:pPr>
        <w:pStyle w:val="NormalLeft"/>
        <w:spacing w:line="240" w:lineRule="auto"/>
        <w:jc w:val="center"/>
      </w:pPr>
      <w:r w:rsidRPr="00585767">
        <w:t>ORDER</w:t>
      </w:r>
      <w:r w:rsidR="003578E6" w:rsidRPr="00585767">
        <w:t xml:space="preserve"> GRANTING MOTION</w:t>
      </w:r>
      <w:r w:rsidR="00FB3E0C" w:rsidRPr="00585767">
        <w:t xml:space="preserve"> FOR ACCESS</w:t>
      </w:r>
    </w:p>
    <w:p w14:paraId="756085F0" w14:textId="77777777" w:rsidR="00B874C6" w:rsidRPr="00585767" w:rsidRDefault="00B874C6" w:rsidP="005C321A">
      <w:pPr>
        <w:pStyle w:val="NormalLeft"/>
        <w:spacing w:line="240" w:lineRule="auto"/>
        <w:jc w:val="center"/>
      </w:pPr>
    </w:p>
    <w:p w14:paraId="12FF43F9" w14:textId="77777777" w:rsidR="000C6F58" w:rsidRPr="00585767" w:rsidRDefault="000C6F58" w:rsidP="005C321A">
      <w:pPr>
        <w:pStyle w:val="NormalLeft"/>
        <w:spacing w:line="240" w:lineRule="auto"/>
        <w:jc w:val="center"/>
      </w:pPr>
    </w:p>
    <w:p w14:paraId="21E35152" w14:textId="4FB53EC0" w:rsidR="00DA1CA1" w:rsidRDefault="00B874C6" w:rsidP="00DA1CA1">
      <w:pPr>
        <w:pStyle w:val="NormalLeft"/>
        <w:spacing w:line="240" w:lineRule="auto"/>
        <w:jc w:val="center"/>
      </w:pPr>
      <w:r w:rsidRPr="00585767">
        <w:t>(Issued</w:t>
      </w:r>
      <w:r w:rsidR="0017107E" w:rsidRPr="00585767">
        <w:t xml:space="preserve"> </w:t>
      </w:r>
      <w:r w:rsidR="000B3664">
        <w:t xml:space="preserve">January </w:t>
      </w:r>
      <w:r w:rsidR="00507313">
        <w:t>25</w:t>
      </w:r>
      <w:r w:rsidR="000B3664">
        <w:t>, 2023</w:t>
      </w:r>
      <w:r w:rsidRPr="00585767">
        <w:t>)</w:t>
      </w:r>
    </w:p>
    <w:p w14:paraId="4517CFD7" w14:textId="28B3829E" w:rsidR="00DF36F9" w:rsidRPr="00585767" w:rsidRDefault="00835472" w:rsidP="00D22D92">
      <w:pPr>
        <w:pStyle w:val="Heading1"/>
      </w:pPr>
      <w:r w:rsidRPr="00585767">
        <w:t>INTRODUCTION</w:t>
      </w:r>
    </w:p>
    <w:p w14:paraId="57B5A277" w14:textId="0C045FC4" w:rsidR="00FB3E0C" w:rsidRPr="00585767" w:rsidRDefault="004D5911" w:rsidP="00DA1CA1">
      <w:r w:rsidRPr="00585767">
        <w:t xml:space="preserve">On January </w:t>
      </w:r>
      <w:r w:rsidR="000B3664">
        <w:t>13, 2023</w:t>
      </w:r>
      <w:r w:rsidRPr="00585767">
        <w:t xml:space="preserve">, United Parcel Service, Inc. (UPS) filed a motion requesting access to certain non-public library references filed by the Postal Service as part of its </w:t>
      </w:r>
      <w:r w:rsidRPr="00585767">
        <w:rPr>
          <w:i/>
        </w:rPr>
        <w:t>Annual Compliance Report</w:t>
      </w:r>
      <w:r w:rsidRPr="00585767">
        <w:t xml:space="preserve"> (ACR).</w:t>
      </w:r>
      <w:r w:rsidRPr="00585767">
        <w:rPr>
          <w:vertAlign w:val="superscript"/>
        </w:rPr>
        <w:footnoteReference w:id="2"/>
      </w:r>
      <w:r w:rsidRPr="00585767">
        <w:t xml:space="preserve">  </w:t>
      </w:r>
      <w:r w:rsidR="00FB3E0C" w:rsidRPr="00585767">
        <w:t>For the reasons</w:t>
      </w:r>
      <w:r w:rsidR="00BD4B82" w:rsidRPr="00585767">
        <w:t xml:space="preserve"> </w:t>
      </w:r>
      <w:r w:rsidR="007E010E" w:rsidRPr="00585767">
        <w:t xml:space="preserve">discussed </w:t>
      </w:r>
      <w:r w:rsidR="00BD4B82" w:rsidRPr="00585767">
        <w:t>below</w:t>
      </w:r>
      <w:r w:rsidR="00FB3E0C" w:rsidRPr="00585767">
        <w:t xml:space="preserve">, the Commission grants </w:t>
      </w:r>
      <w:r w:rsidR="00BA0900" w:rsidRPr="00585767">
        <w:t>the motion</w:t>
      </w:r>
      <w:r w:rsidR="00FB3E0C" w:rsidRPr="00585767">
        <w:t>.</w:t>
      </w:r>
    </w:p>
    <w:p w14:paraId="704D0191" w14:textId="77777777" w:rsidR="00FB3E0C" w:rsidRPr="00585767" w:rsidRDefault="00FB3E0C" w:rsidP="00FB3E0C">
      <w:pPr>
        <w:pStyle w:val="Heading1"/>
      </w:pPr>
      <w:r w:rsidRPr="00585767">
        <w:t>Procedural History</w:t>
      </w:r>
    </w:p>
    <w:p w14:paraId="05BFAC0C" w14:textId="58BDA396" w:rsidR="00522DEC" w:rsidRDefault="000B3664" w:rsidP="7283532B">
      <w:pPr>
        <w:rPr>
          <w:i/>
          <w:iCs/>
        </w:rPr>
      </w:pPr>
      <w:r>
        <w:t xml:space="preserve">On January 13, 2023, UPS filed a motion requesting access to non-public Library References USPS-FY22-NP2, -NP3, -NP7, -NP8, -NP9, -NP10, -NP11, -NP12, -NP13, -NP14, -NP19, -NP20, -NP21, -NP22, -NP23, -NP24, and -NP30.  Motion at 1.  UPS requested continued access to the non-public library references granted to it in Docket </w:t>
      </w:r>
      <w:r>
        <w:lastRenderedPageBreak/>
        <w:t>Nos. ACR2014, ACR2015, ACR2016, ACR2017, ACR2018, ACR2019, ACR2020</w:t>
      </w:r>
      <w:r w:rsidR="007C76CC">
        <w:t>,</w:t>
      </w:r>
      <w:r>
        <w:t xml:space="preserve"> and ACR2021.  </w:t>
      </w:r>
      <w:r w:rsidRPr="7283532B">
        <w:rPr>
          <w:i/>
          <w:iCs/>
        </w:rPr>
        <w:t>Id</w:t>
      </w:r>
      <w:r>
        <w:t xml:space="preserve">.  Additionally, </w:t>
      </w:r>
      <w:r w:rsidR="00522DEC">
        <w:t xml:space="preserve">UPS </w:t>
      </w:r>
      <w:r>
        <w:t>r</w:t>
      </w:r>
      <w:r w:rsidR="00522DEC">
        <w:t>equested access for 1</w:t>
      </w:r>
      <w:r>
        <w:t>4</w:t>
      </w:r>
      <w:r w:rsidR="00522DEC">
        <w:t xml:space="preserve"> outside counsel and consultants only, so that “they may assist UPS in </w:t>
      </w:r>
      <w:r>
        <w:t xml:space="preserve">potentially </w:t>
      </w:r>
      <w:r w:rsidR="00522DEC">
        <w:t>making informed comments</w:t>
      </w:r>
      <w:r w:rsidR="008D443C">
        <w:t>”</w:t>
      </w:r>
      <w:r w:rsidR="00522DEC">
        <w:t xml:space="preserve"> in </w:t>
      </w:r>
      <w:r>
        <w:t>the instant proceeding</w:t>
      </w:r>
      <w:r w:rsidR="00522DEC">
        <w:t xml:space="preserve">.  </w:t>
      </w:r>
      <w:r w:rsidR="00522DEC" w:rsidRPr="7283532B">
        <w:rPr>
          <w:i/>
          <w:iCs/>
        </w:rPr>
        <w:t>Id.</w:t>
      </w:r>
      <w:r w:rsidR="00522DEC">
        <w:t xml:space="preserve"> at 2.  The Motion included a list of outside counsel and consultants and certifications for each.  </w:t>
      </w:r>
      <w:r w:rsidR="00522DEC" w:rsidRPr="7283532B">
        <w:rPr>
          <w:i/>
          <w:iCs/>
        </w:rPr>
        <w:t>Id</w:t>
      </w:r>
      <w:r w:rsidR="00522DEC">
        <w:t xml:space="preserve">. Exhibit 1; </w:t>
      </w:r>
      <w:r w:rsidR="00856BB6">
        <w:t>Motion,</w:t>
      </w:r>
      <w:r w:rsidR="00522DEC">
        <w:t xml:space="preserve"> Appendix A to Part 3011.</w:t>
      </w:r>
    </w:p>
    <w:p w14:paraId="1748742B" w14:textId="010B1C37" w:rsidR="00847F77" w:rsidRDefault="00AD0743" w:rsidP="00847F77">
      <w:r>
        <w:t xml:space="preserve">In its Motion, </w:t>
      </w:r>
      <w:r w:rsidR="008D443C">
        <w:t xml:space="preserve">UPS noted that it has conferred with the Postal Service, which consents to the Motion with respect to FY 2022 folders -NP10, -NP11, -NP12, -NP13, -NP19, -NP20, and -NP21 and continued access to those folders from previous years.  </w:t>
      </w:r>
      <w:r w:rsidR="00D325CF">
        <w:t>Motion</w:t>
      </w:r>
      <w:r w:rsidR="008D443C" w:rsidRPr="502784B4">
        <w:rPr>
          <w:i/>
          <w:iCs/>
        </w:rPr>
        <w:t xml:space="preserve"> </w:t>
      </w:r>
      <w:r w:rsidR="008D443C">
        <w:t xml:space="preserve">at 1-2.  </w:t>
      </w:r>
      <w:r w:rsidR="00847F77">
        <w:t>However, it further noted that the Postal Service</w:t>
      </w:r>
    </w:p>
    <w:p w14:paraId="519D4EB7" w14:textId="4A16D02D" w:rsidR="00847F77" w:rsidRPr="00265716" w:rsidRDefault="00845BDB" w:rsidP="00ED1EF1">
      <w:pPr>
        <w:spacing w:before="120" w:after="120" w:line="240" w:lineRule="auto"/>
        <w:ind w:left="1440" w:right="1440" w:firstLine="0"/>
        <w:jc w:val="both"/>
        <w:rPr>
          <w:sz w:val="22"/>
          <w:szCs w:val="22"/>
        </w:rPr>
      </w:pPr>
      <w:r>
        <w:rPr>
          <w:sz w:val="22"/>
          <w:szCs w:val="22"/>
        </w:rPr>
        <w:t>r</w:t>
      </w:r>
      <w:r w:rsidR="00847F77" w:rsidRPr="00265716">
        <w:rPr>
          <w:sz w:val="22"/>
          <w:szCs w:val="22"/>
        </w:rPr>
        <w:t xml:space="preserve">eserves the right to respond to UPS’s </w:t>
      </w:r>
      <w:r w:rsidR="00CF7E0F">
        <w:rPr>
          <w:sz w:val="22"/>
          <w:szCs w:val="22"/>
        </w:rPr>
        <w:t>m</w:t>
      </w:r>
      <w:r w:rsidR="00847F77" w:rsidRPr="008B4A7E">
        <w:rPr>
          <w:sz w:val="22"/>
          <w:szCs w:val="22"/>
        </w:rPr>
        <w:t>otion</w:t>
      </w:r>
      <w:r w:rsidR="00847F77" w:rsidRPr="00265716">
        <w:rPr>
          <w:sz w:val="22"/>
          <w:szCs w:val="22"/>
        </w:rPr>
        <w:t xml:space="preserve"> with respect to (1)</w:t>
      </w:r>
      <w:r w:rsidR="000B2C8F">
        <w:rPr>
          <w:sz w:val="22"/>
          <w:szCs w:val="22"/>
        </w:rPr>
        <w:t> </w:t>
      </w:r>
      <w:r w:rsidR="00847F77" w:rsidRPr="00265716">
        <w:rPr>
          <w:sz w:val="22"/>
          <w:szCs w:val="22"/>
        </w:rPr>
        <w:t>this year’s versions of folders NP2, NP3, NP7, NP8, NP9, NP14, NP22, NP23, NP24, and NP30, insofar as third party information is implicated, and (2) continued access to folders NP2, NP3, NP7, NP8, NP9, NP14, NP22, NP23, NP24, and NP30 from</w:t>
      </w:r>
      <w:r w:rsidR="00847F77">
        <w:rPr>
          <w:sz w:val="22"/>
          <w:szCs w:val="22"/>
        </w:rPr>
        <w:t xml:space="preserve"> </w:t>
      </w:r>
      <w:r w:rsidR="00847F77" w:rsidRPr="00265716">
        <w:rPr>
          <w:sz w:val="22"/>
          <w:szCs w:val="22"/>
        </w:rPr>
        <w:t>previous years.</w:t>
      </w:r>
    </w:p>
    <w:p w14:paraId="54A86BB9" w14:textId="7648D7FF" w:rsidR="00AD0743" w:rsidRDefault="00AD0743" w:rsidP="00DA1CA1">
      <w:pPr>
        <w:ind w:firstLine="0"/>
      </w:pPr>
      <w:r>
        <w:rPr>
          <w:i/>
        </w:rPr>
        <w:t xml:space="preserve">Id. </w:t>
      </w:r>
      <w:r>
        <w:t xml:space="preserve">at 2.  As a result, on January </w:t>
      </w:r>
      <w:r w:rsidR="00847F77">
        <w:t>18, 2023</w:t>
      </w:r>
      <w:r>
        <w:t>, the Commission granted the Motion</w:t>
      </w:r>
      <w:r w:rsidR="00522DEC">
        <w:t xml:space="preserve"> in part, permitting access to UPS and its outside counsel and c</w:t>
      </w:r>
      <w:r w:rsidR="0020699B">
        <w:t>onsultants to those non-public library r</w:t>
      </w:r>
      <w:r w:rsidR="00522DEC">
        <w:t>eferences that the Postal Service did not oppose (</w:t>
      </w:r>
      <w:r w:rsidR="00522DEC">
        <w:rPr>
          <w:i/>
        </w:rPr>
        <w:t>i.e.</w:t>
      </w:r>
      <w:r w:rsidR="00522DEC">
        <w:t xml:space="preserve">, </w:t>
      </w:r>
      <w:r w:rsidR="00847F77" w:rsidRPr="502784B4">
        <w:rPr>
          <w:rFonts w:cs="Arial"/>
        </w:rPr>
        <w:t xml:space="preserve">Library References </w:t>
      </w:r>
      <w:r w:rsidR="00847F77">
        <w:t xml:space="preserve">USPS-FY22-NP10, -NP11, -NP12, -NP13, -NP19, -NP20, and -NP21, and continued access to those folders from </w:t>
      </w:r>
      <w:r w:rsidR="00847F77" w:rsidRPr="502784B4">
        <w:rPr>
          <w:rFonts w:cs="Arial"/>
        </w:rPr>
        <w:t>previous years</w:t>
      </w:r>
      <w:r w:rsidR="00522DEC">
        <w:t>).</w:t>
      </w:r>
      <w:r w:rsidR="00442DAD">
        <w:rPr>
          <w:rStyle w:val="FootnoteReference"/>
        </w:rPr>
        <w:footnoteReference w:id="3"/>
      </w:r>
    </w:p>
    <w:p w14:paraId="5FBE10F9" w14:textId="73BF7924" w:rsidR="00C41E77" w:rsidRDefault="00FB3E0C" w:rsidP="00ED1EF1">
      <w:r w:rsidRPr="00585767">
        <w:t xml:space="preserve">On </w:t>
      </w:r>
      <w:r w:rsidR="00FD6677" w:rsidRPr="00585767">
        <w:t>January</w:t>
      </w:r>
      <w:r w:rsidR="00B859BC" w:rsidRPr="00585767">
        <w:t xml:space="preserve"> </w:t>
      </w:r>
      <w:r w:rsidR="00847F77">
        <w:t>20</w:t>
      </w:r>
      <w:r w:rsidR="0054360B">
        <w:t>, 202</w:t>
      </w:r>
      <w:r w:rsidR="00847F77">
        <w:t>3</w:t>
      </w:r>
      <w:r w:rsidR="00E52DE7" w:rsidRPr="00585767">
        <w:t xml:space="preserve">, the Postal Service filed </w:t>
      </w:r>
      <w:r w:rsidR="00B859BC" w:rsidRPr="00585767">
        <w:t xml:space="preserve">a </w:t>
      </w:r>
      <w:r w:rsidR="004C3A05" w:rsidRPr="00585767">
        <w:t>response</w:t>
      </w:r>
      <w:r w:rsidR="00E52DE7" w:rsidRPr="00585767">
        <w:t xml:space="preserve"> to </w:t>
      </w:r>
      <w:r w:rsidR="00B859BC" w:rsidRPr="00585767">
        <w:t>the UPS Motion</w:t>
      </w:r>
      <w:r w:rsidR="00BD4B82" w:rsidRPr="00585767">
        <w:t xml:space="preserve">, </w:t>
      </w:r>
      <w:r w:rsidR="0054360B">
        <w:t xml:space="preserve">related to </w:t>
      </w:r>
      <w:r w:rsidR="003E2AFD" w:rsidRPr="00585767">
        <w:t>its request to access non-public materials with information related to third-party</w:t>
      </w:r>
      <w:r w:rsidR="00486AA7">
        <w:t xml:space="preserve"> foreign</w:t>
      </w:r>
      <w:r w:rsidR="003E2AFD" w:rsidRPr="00585767">
        <w:t xml:space="preserve"> postal operators, specifically </w:t>
      </w:r>
      <w:r w:rsidR="00B1419A">
        <w:t xml:space="preserve">non-public </w:t>
      </w:r>
      <w:r w:rsidR="00E40E32" w:rsidRPr="00585767">
        <w:t>L</w:t>
      </w:r>
      <w:r w:rsidR="003E2AFD" w:rsidRPr="00585767">
        <w:t xml:space="preserve">ibrary </w:t>
      </w:r>
      <w:r w:rsidR="00E40E32" w:rsidRPr="00585767">
        <w:t>R</w:t>
      </w:r>
      <w:r w:rsidR="0054360B">
        <w:t>eferences USPS-FY2</w:t>
      </w:r>
      <w:r w:rsidR="00847F77">
        <w:t>2</w:t>
      </w:r>
      <w:r w:rsidR="003E2AFD" w:rsidRPr="00585767">
        <w:t>-NP2, -NP3, -NP7, -</w:t>
      </w:r>
      <w:r w:rsidR="0054360B">
        <w:t xml:space="preserve">NP8, NP9, -NP14, -NP22, -NP23, </w:t>
      </w:r>
      <w:r w:rsidR="003E2AFD" w:rsidRPr="00585767">
        <w:t>-NP24</w:t>
      </w:r>
      <w:r w:rsidR="00A557CC">
        <w:t xml:space="preserve"> and -</w:t>
      </w:r>
      <w:r w:rsidR="0054360B">
        <w:t>NP30</w:t>
      </w:r>
      <w:r w:rsidR="00A557CC">
        <w:t xml:space="preserve">, as well as </w:t>
      </w:r>
      <w:r w:rsidR="00A557CC">
        <w:lastRenderedPageBreak/>
        <w:t>folders containing third-party business inform</w:t>
      </w:r>
      <w:r w:rsidR="0020699B">
        <w:t>ation</w:t>
      </w:r>
      <w:r w:rsidR="00A557CC">
        <w:t xml:space="preserve"> in prior </w:t>
      </w:r>
      <w:r w:rsidR="00D37A98">
        <w:t>Annual Compliance Review</w:t>
      </w:r>
      <w:r w:rsidR="00A557CC">
        <w:t xml:space="preserve"> dockets</w:t>
      </w:r>
      <w:r w:rsidR="00E52DE7" w:rsidRPr="00585767">
        <w:t>.</w:t>
      </w:r>
      <w:r w:rsidR="00E52DE7" w:rsidRPr="00585767">
        <w:rPr>
          <w:rStyle w:val="FootnoteReference"/>
        </w:rPr>
        <w:footnoteReference w:id="4"/>
      </w:r>
      <w:r w:rsidR="00FD6C2E" w:rsidRPr="00585767">
        <w:t xml:space="preserve"> </w:t>
      </w:r>
    </w:p>
    <w:p w14:paraId="21B8EBCA" w14:textId="3D5A11B7" w:rsidR="00C0667B" w:rsidRPr="00585767" w:rsidRDefault="00C0667B" w:rsidP="00C0667B">
      <w:r>
        <w:t xml:space="preserve">In this Order, the Commission addresses the </w:t>
      </w:r>
      <w:r w:rsidR="0020699B">
        <w:t>remaining contested non-public l</w:t>
      </w:r>
      <w:r>
        <w:t xml:space="preserve">ibrary </w:t>
      </w:r>
      <w:r w:rsidR="0020699B">
        <w:t>r</w:t>
      </w:r>
      <w:r>
        <w:t>eferences noted by UPS and the Postal Service for which a Commission decision is pending (</w:t>
      </w:r>
      <w:r>
        <w:rPr>
          <w:i/>
        </w:rPr>
        <w:t>i.e.</w:t>
      </w:r>
      <w:r>
        <w:t>, non-public Library References USPS-FY2</w:t>
      </w:r>
      <w:r w:rsidR="00990114">
        <w:t>2</w:t>
      </w:r>
      <w:r>
        <w:t xml:space="preserve">-NP2, -NP3, -NP7, -NP8, -NP9, -NP14, -NP22, -NP23, -NP24, and -NP30) and </w:t>
      </w:r>
      <w:r w:rsidR="0020699B">
        <w:t>the</w:t>
      </w:r>
      <w:r>
        <w:t xml:space="preserve"> request for continued access to </w:t>
      </w:r>
      <w:r w:rsidR="00990114">
        <w:t xml:space="preserve">those </w:t>
      </w:r>
      <w:r>
        <w:t>folders from previous years.</w:t>
      </w:r>
    </w:p>
    <w:p w14:paraId="199DFF05" w14:textId="77777777" w:rsidR="00FB3E0C" w:rsidRPr="00585767" w:rsidRDefault="005772AC" w:rsidP="004A3FB8">
      <w:pPr>
        <w:pStyle w:val="Heading1"/>
        <w:spacing w:after="0"/>
      </w:pPr>
      <w:r w:rsidRPr="00585767">
        <w:t>positions of the parties</w:t>
      </w:r>
    </w:p>
    <w:p w14:paraId="5D4D1F22" w14:textId="77777777" w:rsidR="00FB3E0C" w:rsidRPr="00585767" w:rsidRDefault="006A0AE9" w:rsidP="00C55D75">
      <w:pPr>
        <w:pStyle w:val="Heading2"/>
      </w:pPr>
      <w:r w:rsidRPr="00585767">
        <w:t>UPS Motion for Access</w:t>
      </w:r>
    </w:p>
    <w:p w14:paraId="72B03DA8" w14:textId="6E109E25" w:rsidR="005E61E8" w:rsidRPr="00585767" w:rsidRDefault="00C0667B" w:rsidP="00C0667B">
      <w:r w:rsidRPr="00585767">
        <w:t>UPS asserts that the information contained in non-public</w:t>
      </w:r>
      <w:r w:rsidR="001C2163" w:rsidRPr="001C2163">
        <w:t xml:space="preserve"> </w:t>
      </w:r>
      <w:r w:rsidR="001C2163">
        <w:t>Library References USPS-FY22-NP2, -NP3, -NP7, -NP8, -NP9, -NP14, -NP22, -NP23, -NP24, and -NP30</w:t>
      </w:r>
      <w:r w:rsidRPr="00585767">
        <w:t xml:space="preserve"> will allow it to meaningfully comment on whether the Postal Service is in compliance with </w:t>
      </w:r>
      <w:r w:rsidR="008F4ED1">
        <w:t>multiple</w:t>
      </w:r>
      <w:r w:rsidR="481DD604">
        <w:t xml:space="preserve"> </w:t>
      </w:r>
      <w:r w:rsidRPr="00585767">
        <w:t xml:space="preserve">applicable </w:t>
      </w:r>
      <w:r w:rsidR="00867472">
        <w:t xml:space="preserve">legal </w:t>
      </w:r>
      <w:r w:rsidRPr="00585767">
        <w:t>provisions</w:t>
      </w:r>
      <w:r w:rsidR="0547E863">
        <w:t>.</w:t>
      </w:r>
      <w:r w:rsidRPr="79D07F9F">
        <w:rPr>
          <w:rStyle w:val="FootnoteReference"/>
        </w:rPr>
        <w:footnoteReference w:id="5"/>
      </w:r>
      <w:r w:rsidRPr="00585767">
        <w:t xml:space="preserve">  </w:t>
      </w:r>
      <w:r w:rsidR="007C29BB" w:rsidRPr="00585767">
        <w:t>Add</w:t>
      </w:r>
      <w:r w:rsidR="007B6949" w:rsidRPr="00585767">
        <w:t xml:space="preserve">itionally, UPS contends that </w:t>
      </w:r>
      <w:r w:rsidR="007C29BB" w:rsidRPr="00585767">
        <w:t>its outside counsel and consultant</w:t>
      </w:r>
      <w:r w:rsidR="004557A9" w:rsidRPr="00585767">
        <w:t>s</w:t>
      </w:r>
      <w:r w:rsidR="007C29BB" w:rsidRPr="00585767">
        <w:t xml:space="preserve"> </w:t>
      </w:r>
      <w:r w:rsidR="007B6949" w:rsidRPr="00585767">
        <w:t>believe it may be useful to compare the non-public library references from Docket No</w:t>
      </w:r>
      <w:r w:rsidR="0033166E" w:rsidRPr="00585767">
        <w:t>s</w:t>
      </w:r>
      <w:r w:rsidR="007B6949" w:rsidRPr="00585767">
        <w:t>. ACR2014,</w:t>
      </w:r>
      <w:r w:rsidR="00973BAA" w:rsidRPr="00585767">
        <w:t xml:space="preserve"> ACR2015, ACR2016, ACR2017, </w:t>
      </w:r>
      <w:r w:rsidR="007B6949" w:rsidRPr="00585767">
        <w:t>ACR2018</w:t>
      </w:r>
      <w:r>
        <w:t xml:space="preserve">, </w:t>
      </w:r>
      <w:r w:rsidR="00973BAA" w:rsidRPr="00585767">
        <w:t>ACR2019</w:t>
      </w:r>
      <w:r>
        <w:t>, ACR2020</w:t>
      </w:r>
      <w:r w:rsidR="001C2163">
        <w:t>, and ACR2021</w:t>
      </w:r>
      <w:r w:rsidR="007B6949" w:rsidRPr="00585767">
        <w:t xml:space="preserve"> to the current non</w:t>
      </w:r>
      <w:r w:rsidR="0033166E" w:rsidRPr="00585767">
        <w:t>-</w:t>
      </w:r>
      <w:r w:rsidR="007B6949" w:rsidRPr="00585767">
        <w:t>public information requested in order to compare</w:t>
      </w:r>
      <w:r w:rsidR="00973BAA" w:rsidRPr="00585767">
        <w:t xml:space="preserve"> cost</w:t>
      </w:r>
      <w:r w:rsidR="007B6949" w:rsidRPr="00585767">
        <w:t xml:space="preserve"> trends.  </w:t>
      </w:r>
      <w:r w:rsidR="007B6949" w:rsidRPr="00585767">
        <w:rPr>
          <w:i/>
        </w:rPr>
        <w:t>Id.</w:t>
      </w:r>
      <w:r w:rsidR="007B6949" w:rsidRPr="00585767">
        <w:t xml:space="preserve"> at 6</w:t>
      </w:r>
      <w:r>
        <w:t>-7</w:t>
      </w:r>
      <w:r w:rsidR="007B6949" w:rsidRPr="00585767">
        <w:t xml:space="preserve">.  It states that although its outside counsel and consultants have previously gained access to this information, </w:t>
      </w:r>
      <w:r w:rsidR="002B46FE">
        <w:t>UPS</w:t>
      </w:r>
      <w:r w:rsidR="002B46FE" w:rsidRPr="00585767">
        <w:t xml:space="preserve"> </w:t>
      </w:r>
      <w:r w:rsidR="007B6949" w:rsidRPr="00585767">
        <w:t>has not</w:t>
      </w:r>
      <w:r w:rsidR="006622EF">
        <w:t xml:space="preserve"> </w:t>
      </w:r>
      <w:r w:rsidR="0074791B">
        <w:t>obtained</w:t>
      </w:r>
      <w:r w:rsidR="007B6949" w:rsidRPr="00585767">
        <w:t xml:space="preserve"> permission from the Commission </w:t>
      </w:r>
      <w:r w:rsidR="00CF3D6C">
        <w:t xml:space="preserve">for its outside counsel and consultants </w:t>
      </w:r>
      <w:r w:rsidR="0069040D">
        <w:t xml:space="preserve">to </w:t>
      </w:r>
      <w:r w:rsidR="00205E4C">
        <w:t xml:space="preserve">use these materials </w:t>
      </w:r>
      <w:r w:rsidR="007B6949" w:rsidRPr="00585767">
        <w:t>for the purposes of</w:t>
      </w:r>
      <w:r w:rsidR="001E0A51">
        <w:t xml:space="preserve"> developing</w:t>
      </w:r>
      <w:r w:rsidR="007B6949" w:rsidRPr="00585767">
        <w:t xml:space="preserve"> comments in </w:t>
      </w:r>
      <w:r w:rsidR="002B46FE">
        <w:t>the instant</w:t>
      </w:r>
      <w:r w:rsidR="002B46FE" w:rsidRPr="00585767">
        <w:t xml:space="preserve"> </w:t>
      </w:r>
      <w:r w:rsidR="007B6949" w:rsidRPr="00585767">
        <w:t xml:space="preserve">docket.  </w:t>
      </w:r>
      <w:r w:rsidR="007B6949" w:rsidRPr="00585767">
        <w:rPr>
          <w:i/>
        </w:rPr>
        <w:t>Id.</w:t>
      </w:r>
      <w:r w:rsidR="007B6949" w:rsidRPr="00585767">
        <w:t xml:space="preserve"> </w:t>
      </w:r>
      <w:r w:rsidR="00B1419A">
        <w:t xml:space="preserve">at </w:t>
      </w:r>
      <w:r w:rsidR="00477924" w:rsidRPr="00585767">
        <w:t xml:space="preserve">7. </w:t>
      </w:r>
      <w:r w:rsidR="007B6949" w:rsidRPr="00585767">
        <w:t xml:space="preserve"> It</w:t>
      </w:r>
      <w:r w:rsidR="006D425E">
        <w:t>,</w:t>
      </w:r>
      <w:r w:rsidR="007B6949" w:rsidRPr="00585767">
        <w:t xml:space="preserve"> </w:t>
      </w:r>
      <w:r w:rsidR="007B6949" w:rsidRPr="00585767">
        <w:lastRenderedPageBreak/>
        <w:t>therefor</w:t>
      </w:r>
      <w:r w:rsidR="00BF585D" w:rsidRPr="00585767">
        <w:t>e</w:t>
      </w:r>
      <w:r w:rsidR="006D425E">
        <w:t>,</w:t>
      </w:r>
      <w:r w:rsidR="00BF585D" w:rsidRPr="00585767">
        <w:t xml:space="preserve"> requests that the Commission grant that permission along with access to the non</w:t>
      </w:r>
      <w:r w:rsidR="0033166E" w:rsidRPr="00585767">
        <w:t>-</w:t>
      </w:r>
      <w:r w:rsidR="00BF585D" w:rsidRPr="00585767">
        <w:t>public materials requested</w:t>
      </w:r>
      <w:r w:rsidR="00801398">
        <w:t xml:space="preserve"> in </w:t>
      </w:r>
      <w:r w:rsidR="008711A2">
        <w:t xml:space="preserve">Docket No. </w:t>
      </w:r>
      <w:r w:rsidR="00801398">
        <w:t>ACR202</w:t>
      </w:r>
      <w:r w:rsidR="001C2163">
        <w:t>2</w:t>
      </w:r>
      <w:r w:rsidR="00BF585D" w:rsidRPr="00585767">
        <w:t xml:space="preserve">.  </w:t>
      </w:r>
      <w:r w:rsidR="00B1419A">
        <w:rPr>
          <w:i/>
        </w:rPr>
        <w:t>Id</w:t>
      </w:r>
      <w:r w:rsidR="00BF585D" w:rsidRPr="00585767">
        <w:t>.</w:t>
      </w:r>
    </w:p>
    <w:p w14:paraId="6E3A3BDB" w14:textId="77777777" w:rsidR="005E61E8" w:rsidRPr="00585767" w:rsidRDefault="00F3761F" w:rsidP="00C75151">
      <w:pPr>
        <w:pStyle w:val="Heading2"/>
      </w:pPr>
      <w:r w:rsidRPr="00585767">
        <w:t>Postal Service Response</w:t>
      </w:r>
    </w:p>
    <w:p w14:paraId="2618E521" w14:textId="5F29E185" w:rsidR="00F05396" w:rsidRPr="000A365A" w:rsidRDefault="007B6949" w:rsidP="000A365A">
      <w:pPr>
        <w:rPr>
          <w:i/>
          <w:iCs/>
        </w:rPr>
      </w:pPr>
      <w:r w:rsidRPr="00585767">
        <w:t>T</w:t>
      </w:r>
      <w:r w:rsidR="00991749" w:rsidRPr="00585767">
        <w:t>he Pos</w:t>
      </w:r>
      <w:r w:rsidR="00BF585D" w:rsidRPr="00585767">
        <w:t xml:space="preserve">tal Service </w:t>
      </w:r>
      <w:r w:rsidR="00B1419A">
        <w:t>does not explicitly oppose</w:t>
      </w:r>
      <w:r w:rsidR="00BF585D" w:rsidRPr="00585767">
        <w:t xml:space="preserve"> the request</w:t>
      </w:r>
      <w:r w:rsidR="00991749" w:rsidRPr="00585767">
        <w:t xml:space="preserve"> for access to </w:t>
      </w:r>
      <w:r w:rsidR="00B1419A">
        <w:t xml:space="preserve">non-public </w:t>
      </w:r>
      <w:r w:rsidR="00B1419A" w:rsidRPr="00585767">
        <w:t>Library R</w:t>
      </w:r>
      <w:r w:rsidR="00B1419A">
        <w:t>eferences USPS-FY2</w:t>
      </w:r>
      <w:r w:rsidR="001C2163">
        <w:t>2</w:t>
      </w:r>
      <w:r w:rsidR="00B1419A" w:rsidRPr="00585767">
        <w:t>-NP2, -NP3, -NP7, -</w:t>
      </w:r>
      <w:r w:rsidR="00B1419A">
        <w:t xml:space="preserve">NP8, NP9, -NP14, -NP22, -NP23, </w:t>
      </w:r>
      <w:r w:rsidR="00B1419A" w:rsidRPr="00585767">
        <w:t>-NP24</w:t>
      </w:r>
      <w:r w:rsidR="00B1419A">
        <w:t xml:space="preserve"> and -NP30</w:t>
      </w:r>
      <w:r w:rsidR="004349D7" w:rsidRPr="00585767">
        <w:t>.</w:t>
      </w:r>
      <w:r w:rsidR="00F554AE" w:rsidRPr="00585767">
        <w:t xml:space="preserve">  </w:t>
      </w:r>
      <w:r w:rsidR="7F516079" w:rsidRPr="00585767">
        <w:t>However, a</w:t>
      </w:r>
      <w:r w:rsidR="5EFFA8CA">
        <w:t>s in prior years, the Postal Service notes that it is “especially difficult” for foreign entities to participate timely and directly in Commission proceedings.</w:t>
      </w:r>
      <w:r w:rsidRPr="5E7CA5D5">
        <w:rPr>
          <w:rStyle w:val="FootnoteReference"/>
        </w:rPr>
        <w:footnoteReference w:id="6"/>
      </w:r>
      <w:r w:rsidR="5EFFA8CA">
        <w:t xml:space="preserve">  It further notes that it “ma[d]e various foreign postal operators aware” of the Motion, and that some </w:t>
      </w:r>
      <w:r w:rsidR="0AF729A0">
        <w:t xml:space="preserve">of </w:t>
      </w:r>
      <w:r w:rsidR="5EFFA8CA">
        <w:t>foreign postal operators “continue to raise concerns</w:t>
      </w:r>
      <w:r w:rsidR="11087EA9">
        <w:t>.”</w:t>
      </w:r>
      <w:r w:rsidR="5EFFA8CA">
        <w:t xml:space="preserve">  Postal Service Response at 2</w:t>
      </w:r>
      <w:r w:rsidR="5EFFA8CA" w:rsidRPr="5E7CA5D5">
        <w:rPr>
          <w:i/>
          <w:iCs/>
        </w:rPr>
        <w:t xml:space="preserve">. </w:t>
      </w:r>
      <w:r w:rsidR="5EFFA8CA">
        <w:t xml:space="preserve"> </w:t>
      </w:r>
      <w:r w:rsidR="380E4278">
        <w:t>As part of its Response, the Postal Service</w:t>
      </w:r>
      <w:r w:rsidR="5EFFA8CA">
        <w:t xml:space="preserve"> </w:t>
      </w:r>
      <w:r w:rsidR="00A116AF">
        <w:t>attaches</w:t>
      </w:r>
      <w:r w:rsidR="2DB7FCB6">
        <w:t xml:space="preserve"> </w:t>
      </w:r>
      <w:r w:rsidR="59598419">
        <w:t>letters</w:t>
      </w:r>
      <w:r w:rsidR="2DB7FCB6">
        <w:t xml:space="preserve"> </w:t>
      </w:r>
      <w:r w:rsidR="5EFFA8CA">
        <w:t xml:space="preserve">from </w:t>
      </w:r>
      <w:r w:rsidR="00A3112A">
        <w:t>the designated operators of Italy (</w:t>
      </w:r>
      <w:r w:rsidR="5EFFA8CA">
        <w:t xml:space="preserve">Poste </w:t>
      </w:r>
      <w:proofErr w:type="spellStart"/>
      <w:r w:rsidR="5EFFA8CA">
        <w:t>Italiane</w:t>
      </w:r>
      <w:proofErr w:type="spellEnd"/>
      <w:r w:rsidR="00A3112A">
        <w:t>)</w:t>
      </w:r>
      <w:r w:rsidRPr="5E7CA5D5">
        <w:rPr>
          <w:rStyle w:val="FootnoteReference"/>
        </w:rPr>
        <w:footnoteReference w:id="7"/>
      </w:r>
      <w:r w:rsidR="5EFFA8CA">
        <w:t xml:space="preserve"> and Canada </w:t>
      </w:r>
      <w:r w:rsidR="00A3112A">
        <w:t>(</w:t>
      </w:r>
      <w:r w:rsidR="07ED44AF">
        <w:t xml:space="preserve">Canada </w:t>
      </w:r>
      <w:r w:rsidR="5EFFA8CA">
        <w:t>Post Corporation</w:t>
      </w:r>
      <w:r w:rsidR="00A3112A">
        <w:t>)</w:t>
      </w:r>
      <w:r w:rsidR="51C85330">
        <w:t>,</w:t>
      </w:r>
      <w:r w:rsidRPr="5E7CA5D5">
        <w:rPr>
          <w:rStyle w:val="FootnoteReference"/>
        </w:rPr>
        <w:footnoteReference w:id="8"/>
      </w:r>
      <w:r w:rsidR="5EFFA8CA">
        <w:t xml:space="preserve"> </w:t>
      </w:r>
      <w:r w:rsidR="31684F84">
        <w:t xml:space="preserve">which indicate concerns regarding </w:t>
      </w:r>
      <w:r w:rsidR="00AF28CB">
        <w:t xml:space="preserve">the </w:t>
      </w:r>
      <w:r w:rsidR="31684F84">
        <w:t>adequate protection of data</w:t>
      </w:r>
      <w:r w:rsidR="15A73795">
        <w:t xml:space="preserve"> and </w:t>
      </w:r>
      <w:r w:rsidR="5D4CEA5B">
        <w:t xml:space="preserve">other </w:t>
      </w:r>
      <w:r w:rsidR="31684F84">
        <w:t xml:space="preserve">commercially sensitive </w:t>
      </w:r>
      <w:r w:rsidR="78FAE1B0">
        <w:t>information</w:t>
      </w:r>
      <w:r w:rsidR="15A73795">
        <w:t xml:space="preserve">. </w:t>
      </w:r>
      <w:r w:rsidR="5EFFA8CA">
        <w:t xml:space="preserve"> </w:t>
      </w:r>
      <w:r w:rsidR="07ED44AF">
        <w:t xml:space="preserve">The Postal Service requests that the Commission take </w:t>
      </w:r>
      <w:proofErr w:type="gramStart"/>
      <w:r w:rsidR="00A3112A">
        <w:t>these</w:t>
      </w:r>
      <w:r w:rsidR="00A3112A" w:rsidDel="5EFFA8CA">
        <w:t xml:space="preserve"> </w:t>
      </w:r>
      <w:r>
        <w:t>correspondence</w:t>
      </w:r>
      <w:proofErr w:type="gramEnd"/>
      <w:r w:rsidR="5EFFA8CA">
        <w:t xml:space="preserve"> into account</w:t>
      </w:r>
      <w:r w:rsidR="00B1419A">
        <w:t xml:space="preserve"> </w:t>
      </w:r>
      <w:r w:rsidR="00A3112A">
        <w:t xml:space="preserve">when evaluating </w:t>
      </w:r>
      <w:r w:rsidR="00B1419A">
        <w:t xml:space="preserve">the Motion.  </w:t>
      </w:r>
      <w:r w:rsidR="00A3112A">
        <w:t>Postal Service Response at 3</w:t>
      </w:r>
      <w:r w:rsidR="00A3112A" w:rsidRPr="73293159">
        <w:rPr>
          <w:i/>
          <w:iCs/>
        </w:rPr>
        <w:t>.</w:t>
      </w:r>
      <w:r w:rsidR="00CE1FDF">
        <w:rPr>
          <w:i/>
          <w:iCs/>
        </w:rPr>
        <w:br w:type="page"/>
      </w:r>
    </w:p>
    <w:p w14:paraId="5541D46A" w14:textId="77777777" w:rsidR="00FB3E0C" w:rsidRPr="00585767" w:rsidRDefault="00FB3E0C" w:rsidP="007F305F">
      <w:pPr>
        <w:pStyle w:val="Heading1"/>
        <w:spacing w:after="0"/>
      </w:pPr>
      <w:r w:rsidRPr="00585767">
        <w:lastRenderedPageBreak/>
        <w:t>Commission Analysis</w:t>
      </w:r>
    </w:p>
    <w:p w14:paraId="597ECD29" w14:textId="77777777" w:rsidR="00E303CB" w:rsidRPr="00585767" w:rsidRDefault="00E303CB" w:rsidP="00377919">
      <w:pPr>
        <w:pStyle w:val="Heading2"/>
        <w:numPr>
          <w:ilvl w:val="0"/>
          <w:numId w:val="28"/>
        </w:numPr>
        <w:ind w:left="1440" w:hanging="720"/>
      </w:pPr>
      <w:r w:rsidRPr="00585767">
        <w:t>Legal Standard</w:t>
      </w:r>
    </w:p>
    <w:p w14:paraId="709171E3" w14:textId="3D2BA61C" w:rsidR="00561602" w:rsidRPr="00585767" w:rsidRDefault="001F2CDD" w:rsidP="7C0585FF">
      <w:r w:rsidRPr="00585767">
        <w:t>The Postal Se</w:t>
      </w:r>
      <w:r w:rsidR="004C6557" w:rsidRPr="00585767">
        <w:t>rvice may seek non-public treat</w:t>
      </w:r>
      <w:r w:rsidRPr="00585767">
        <w:t>ment for materials that are submitted to the Commission</w:t>
      </w:r>
      <w:r w:rsidR="004C6557" w:rsidRPr="00585767">
        <w:t xml:space="preserve"> if such information would be exempt from disclosure pursuant to 39 U.S.C. §§ 410(c), 504(g), 3652(f), or 3654(f).</w:t>
      </w:r>
      <w:r w:rsidR="006901AB" w:rsidRPr="00585767">
        <w:rPr>
          <w:rStyle w:val="FootnoteReference"/>
        </w:rPr>
        <w:footnoteReference w:id="9"/>
      </w:r>
      <w:r w:rsidR="004C6557" w:rsidRPr="00585767">
        <w:t xml:space="preserve">  Under 39 U.S.C. </w:t>
      </w:r>
      <w:r w:rsidR="0026647D" w:rsidRPr="00585767">
        <w:t>§ </w:t>
      </w:r>
      <w:r w:rsidR="004C6557" w:rsidRPr="00585767">
        <w:t>504(g)(3), the Commission has specific authority to determine whether production of the non-public material is requir</w:t>
      </w:r>
      <w:r w:rsidR="00FE56AA" w:rsidRPr="00585767">
        <w:t>e</w:t>
      </w:r>
      <w:r w:rsidR="006901AB" w:rsidRPr="00585767">
        <w:t>d</w:t>
      </w:r>
      <w:r w:rsidR="004C6557" w:rsidRPr="00585767">
        <w:t xml:space="preserve"> in the course of “any discovery procedure established in connection with a proceeding </w:t>
      </w:r>
      <w:r w:rsidR="00AB0517" w:rsidRPr="00585767">
        <w:t>[</w:t>
      </w:r>
      <w:r w:rsidR="004C6557" w:rsidRPr="00585767">
        <w:t>before</w:t>
      </w:r>
      <w:r w:rsidR="00E51EAB" w:rsidRPr="00585767">
        <w:t xml:space="preserve"> the Commission].”  39 U.S.C. § </w:t>
      </w:r>
      <w:r w:rsidR="004C6557" w:rsidRPr="00585767">
        <w:t xml:space="preserve">504(g)(3)(B).  </w:t>
      </w:r>
      <w:r w:rsidR="000B6398" w:rsidRPr="00585767">
        <w:t>Section</w:t>
      </w:r>
      <w:r w:rsidR="006901AB" w:rsidRPr="00585767">
        <w:t xml:space="preserve"> </w:t>
      </w:r>
      <w:r w:rsidR="000B6398" w:rsidRPr="00585767">
        <w:t xml:space="preserve">504(g)(3)(B) provides that, in the context of discovery, the Commission may disclose information obtained from the Postal Service if </w:t>
      </w:r>
      <w:r w:rsidR="00370835" w:rsidRPr="00585767">
        <w:t xml:space="preserve">the </w:t>
      </w:r>
      <w:r w:rsidR="000B6398" w:rsidRPr="00585767">
        <w:t xml:space="preserve">disclosure is found </w:t>
      </w:r>
      <w:r w:rsidR="00E11684" w:rsidRPr="00585767">
        <w:t xml:space="preserve">to be </w:t>
      </w:r>
      <w:r w:rsidR="000B6398" w:rsidRPr="00585767">
        <w:t xml:space="preserve">appropriate and consistent with the kind of balancing of interest that is performed by </w:t>
      </w:r>
      <w:r w:rsidR="006D4FFC">
        <w:t>F</w:t>
      </w:r>
      <w:r w:rsidR="000B6398" w:rsidRPr="00585767">
        <w:t xml:space="preserve">ederal civil courts when asked to establish protective conditions under </w:t>
      </w:r>
      <w:r w:rsidR="00E11684" w:rsidRPr="00585767">
        <w:t>Fed. R. Civ. P. 26(c)</w:t>
      </w:r>
      <w:r w:rsidR="000B6398" w:rsidRPr="00585767">
        <w:t xml:space="preserve">.  </w:t>
      </w:r>
      <w:r w:rsidR="00C313E4" w:rsidRPr="00585767">
        <w:rPr>
          <w:i/>
        </w:rPr>
        <w:t>Id.</w:t>
      </w:r>
      <w:r w:rsidR="000B6398" w:rsidRPr="00585767">
        <w:t xml:space="preserve">  S</w:t>
      </w:r>
      <w:r w:rsidR="004C6557" w:rsidRPr="00585767">
        <w:t xml:space="preserve">pecifically, the statute requires the Commission to establish procedures by regulation based on </w:t>
      </w:r>
      <w:r w:rsidR="00E11684" w:rsidRPr="00585767">
        <w:t>Fed. R. Civ. P. 26(c)</w:t>
      </w:r>
      <w:r w:rsidR="004C6557" w:rsidRPr="00585767">
        <w:t xml:space="preserve"> t</w:t>
      </w:r>
      <w:r w:rsidR="000B6398" w:rsidRPr="00585767">
        <w:t>o</w:t>
      </w:r>
      <w:r w:rsidR="004C6557" w:rsidRPr="00585767">
        <w:t xml:space="preserve"> ensure “appropriate confidentiality for information furnished to any party.”  </w:t>
      </w:r>
      <w:r w:rsidR="004C6557" w:rsidRPr="00585767">
        <w:rPr>
          <w:i/>
        </w:rPr>
        <w:t>Id.</w:t>
      </w:r>
    </w:p>
    <w:p w14:paraId="16CB030F" w14:textId="77777777" w:rsidR="00527BB4" w:rsidRPr="00585767" w:rsidRDefault="008B0140" w:rsidP="008B0140">
      <w:r w:rsidRPr="00585767">
        <w:t>The Commission’s r</w:t>
      </w:r>
      <w:r w:rsidR="00FA7A5F" w:rsidRPr="00585767">
        <w:t>egulations</w:t>
      </w:r>
      <w:r w:rsidRPr="00585767">
        <w:t xml:space="preserve"> </w:t>
      </w:r>
      <w:r w:rsidR="008A4FB3" w:rsidRPr="00585767">
        <w:t xml:space="preserve">governing access </w:t>
      </w:r>
      <w:r w:rsidRPr="00585767">
        <w:t>to non-public information codif</w:t>
      </w:r>
      <w:r w:rsidR="008A4FB3" w:rsidRPr="00585767">
        <w:t>y</w:t>
      </w:r>
      <w:r w:rsidRPr="00585767">
        <w:t xml:space="preserve"> this st</w:t>
      </w:r>
      <w:r w:rsidR="00527BB4" w:rsidRPr="00585767">
        <w:t>atutory requirement</w:t>
      </w:r>
      <w:r w:rsidRPr="00585767">
        <w:t xml:space="preserve"> by </w:t>
      </w:r>
      <w:r w:rsidR="00527BB4" w:rsidRPr="00585767">
        <w:t xml:space="preserve">setting forth rules providing for access to non-public materials along with strict protective conditions based on </w:t>
      </w:r>
      <w:r w:rsidR="001F1EFD" w:rsidRPr="00585767">
        <w:t>Fed. R. Civ. P. 26(c)</w:t>
      </w:r>
      <w:r w:rsidR="00527BB4" w:rsidRPr="00585767">
        <w:t>.  In the rulemaking proceeding amending the rules relating to non-public infor</w:t>
      </w:r>
      <w:r w:rsidR="000B6398" w:rsidRPr="00585767">
        <w:t>mation, the Commission provided an overview of how the rules function</w:t>
      </w:r>
      <w:r w:rsidR="00527BB4" w:rsidRPr="00585767">
        <w:t>:</w:t>
      </w:r>
    </w:p>
    <w:p w14:paraId="27435AB7" w14:textId="5ECCECED" w:rsidR="00A25F07" w:rsidRDefault="00527BB4" w:rsidP="00F7744B">
      <w:pPr>
        <w:spacing w:before="120" w:after="120" w:line="240" w:lineRule="auto"/>
        <w:ind w:left="1440" w:right="1440" w:firstLine="0"/>
        <w:jc w:val="both"/>
        <w:rPr>
          <w:sz w:val="22"/>
          <w:szCs w:val="22"/>
        </w:rPr>
      </w:pPr>
      <w:r w:rsidRPr="00736E6A">
        <w:rPr>
          <w:sz w:val="22"/>
          <w:szCs w:val="22"/>
        </w:rPr>
        <w:t xml:space="preserve">Recognizing that public disclosure of certain information may be commercially harmful to the Postal Service, other persons, or both, </w:t>
      </w:r>
      <w:r w:rsidR="009F2E58" w:rsidRPr="00736E6A">
        <w:rPr>
          <w:sz w:val="22"/>
          <w:szCs w:val="22"/>
        </w:rPr>
        <w:t xml:space="preserve">[the] </w:t>
      </w:r>
      <w:r w:rsidRPr="00736E6A">
        <w:rPr>
          <w:sz w:val="22"/>
          <w:szCs w:val="22"/>
        </w:rPr>
        <w:t xml:space="preserve">existing </w:t>
      </w:r>
      <w:r w:rsidR="000A5715" w:rsidRPr="00736E6A">
        <w:rPr>
          <w:sz w:val="22"/>
          <w:szCs w:val="22"/>
        </w:rPr>
        <w:t>[non-public materials rules]</w:t>
      </w:r>
      <w:r w:rsidRPr="00736E6A">
        <w:rPr>
          <w:sz w:val="22"/>
          <w:szCs w:val="22"/>
        </w:rPr>
        <w:t xml:space="preserve"> permit</w:t>
      </w:r>
      <w:r w:rsidR="009F2E58" w:rsidRPr="00736E6A">
        <w:rPr>
          <w:sz w:val="22"/>
          <w:szCs w:val="22"/>
        </w:rPr>
        <w:t>[]</w:t>
      </w:r>
      <w:r w:rsidRPr="00736E6A">
        <w:rPr>
          <w:sz w:val="22"/>
          <w:szCs w:val="22"/>
        </w:rPr>
        <w:t xml:space="preserve"> the filing of commercially sensitive information to be non-public (also known as </w:t>
      </w:r>
      <w:r w:rsidR="00B67A4D">
        <w:rPr>
          <w:sz w:val="22"/>
          <w:szCs w:val="22"/>
        </w:rPr>
        <w:t>“</w:t>
      </w:r>
      <w:r w:rsidRPr="00736E6A">
        <w:rPr>
          <w:sz w:val="22"/>
          <w:szCs w:val="22"/>
        </w:rPr>
        <w:t>sealed</w:t>
      </w:r>
      <w:r w:rsidR="00B67A4D">
        <w:rPr>
          <w:sz w:val="22"/>
          <w:szCs w:val="22"/>
        </w:rPr>
        <w:t>”</w:t>
      </w:r>
      <w:r w:rsidRPr="00736E6A">
        <w:rPr>
          <w:sz w:val="22"/>
          <w:szCs w:val="22"/>
        </w:rPr>
        <w:t xml:space="preserve"> or </w:t>
      </w:r>
      <w:r w:rsidR="00B67A4D">
        <w:rPr>
          <w:sz w:val="22"/>
          <w:szCs w:val="22"/>
        </w:rPr>
        <w:t>“</w:t>
      </w:r>
      <w:r w:rsidRPr="00736E6A">
        <w:rPr>
          <w:sz w:val="22"/>
          <w:szCs w:val="22"/>
        </w:rPr>
        <w:t>under seal</w:t>
      </w:r>
      <w:r w:rsidR="00B67A4D">
        <w:rPr>
          <w:sz w:val="22"/>
          <w:szCs w:val="22"/>
        </w:rPr>
        <w:t>”</w:t>
      </w:r>
      <w:r w:rsidRPr="00736E6A">
        <w:rPr>
          <w:sz w:val="22"/>
          <w:szCs w:val="22"/>
        </w:rPr>
        <w:t xml:space="preserve">).  At the same time, acknowledging the </w:t>
      </w:r>
      <w:r w:rsidRPr="00736E6A">
        <w:rPr>
          <w:sz w:val="22"/>
          <w:szCs w:val="22"/>
        </w:rPr>
        <w:lastRenderedPageBreak/>
        <w:t xml:space="preserve">need for transparency, </w:t>
      </w:r>
      <w:r w:rsidR="009F2E58" w:rsidRPr="00736E6A">
        <w:rPr>
          <w:sz w:val="22"/>
          <w:szCs w:val="22"/>
        </w:rPr>
        <w:t xml:space="preserve">[the] </w:t>
      </w:r>
      <w:r w:rsidRPr="00736E6A">
        <w:rPr>
          <w:sz w:val="22"/>
          <w:szCs w:val="22"/>
        </w:rPr>
        <w:t xml:space="preserve">existing </w:t>
      </w:r>
      <w:r w:rsidR="009F2E58" w:rsidRPr="00736E6A">
        <w:rPr>
          <w:sz w:val="22"/>
          <w:szCs w:val="22"/>
        </w:rPr>
        <w:t>[non-public materials rules]</w:t>
      </w:r>
      <w:r w:rsidRPr="00736E6A">
        <w:rPr>
          <w:sz w:val="22"/>
          <w:szCs w:val="22"/>
        </w:rPr>
        <w:t xml:space="preserve"> provide</w:t>
      </w:r>
      <w:r w:rsidR="009F2E58" w:rsidRPr="00736E6A">
        <w:rPr>
          <w:sz w:val="22"/>
          <w:szCs w:val="22"/>
        </w:rPr>
        <w:t>[]</w:t>
      </w:r>
      <w:r w:rsidRPr="00736E6A">
        <w:rPr>
          <w:sz w:val="22"/>
          <w:szCs w:val="22"/>
        </w:rPr>
        <w:t xml:space="preserve"> for procedures to allow for a person to request that non-public materials be disclosed to the public (also known as </w:t>
      </w:r>
      <w:r w:rsidR="00081FCD">
        <w:rPr>
          <w:sz w:val="22"/>
          <w:szCs w:val="22"/>
        </w:rPr>
        <w:t>“</w:t>
      </w:r>
      <w:r w:rsidRPr="00736E6A">
        <w:rPr>
          <w:sz w:val="22"/>
          <w:szCs w:val="22"/>
        </w:rPr>
        <w:t>unsealed</w:t>
      </w:r>
      <w:r w:rsidR="00081FCD">
        <w:rPr>
          <w:sz w:val="22"/>
          <w:szCs w:val="22"/>
        </w:rPr>
        <w:t>”</w:t>
      </w:r>
      <w:r w:rsidRPr="00736E6A">
        <w:rPr>
          <w:sz w:val="22"/>
          <w:szCs w:val="22"/>
        </w:rPr>
        <w:t xml:space="preserve">).  Moreover, </w:t>
      </w:r>
      <w:r w:rsidR="009F2E58" w:rsidRPr="00736E6A">
        <w:rPr>
          <w:sz w:val="22"/>
          <w:szCs w:val="22"/>
        </w:rPr>
        <w:t xml:space="preserve">[the] </w:t>
      </w:r>
      <w:r w:rsidRPr="00736E6A">
        <w:rPr>
          <w:sz w:val="22"/>
          <w:szCs w:val="22"/>
        </w:rPr>
        <w:t xml:space="preserve">existing </w:t>
      </w:r>
      <w:r w:rsidR="009F2E58" w:rsidRPr="00736E6A">
        <w:rPr>
          <w:sz w:val="22"/>
          <w:szCs w:val="22"/>
        </w:rPr>
        <w:t>[non-public materials rules]</w:t>
      </w:r>
      <w:r w:rsidRPr="00736E6A">
        <w:rPr>
          <w:sz w:val="22"/>
          <w:szCs w:val="22"/>
        </w:rPr>
        <w:t xml:space="preserve"> provide</w:t>
      </w:r>
      <w:r w:rsidR="009F2E58" w:rsidRPr="00736E6A">
        <w:rPr>
          <w:sz w:val="22"/>
          <w:szCs w:val="22"/>
        </w:rPr>
        <w:t>[]</w:t>
      </w:r>
      <w:r w:rsidRPr="00736E6A">
        <w:rPr>
          <w:sz w:val="22"/>
          <w:szCs w:val="22"/>
        </w:rPr>
        <w:t xml:space="preserve"> for procedures to allow for persons to request access to non-public materials, subject to protective conditions, </w:t>
      </w:r>
      <w:proofErr w:type="gramStart"/>
      <w:r w:rsidRPr="00736E6A">
        <w:rPr>
          <w:sz w:val="22"/>
          <w:szCs w:val="22"/>
        </w:rPr>
        <w:t>in order to</w:t>
      </w:r>
      <w:proofErr w:type="gramEnd"/>
      <w:r w:rsidRPr="00736E6A">
        <w:rPr>
          <w:sz w:val="22"/>
          <w:szCs w:val="22"/>
        </w:rPr>
        <w:t xml:space="preserve"> meaningfully participate in Commission proceedings.</w:t>
      </w:r>
      <w:r w:rsidRPr="00736E6A">
        <w:rPr>
          <w:rStyle w:val="FootnoteReference"/>
          <w:sz w:val="22"/>
          <w:szCs w:val="22"/>
        </w:rPr>
        <w:footnoteReference w:id="10"/>
      </w:r>
    </w:p>
    <w:p w14:paraId="758A5986" w14:textId="77777777" w:rsidR="00070C9F" w:rsidRPr="00707E0B" w:rsidRDefault="00070C9F" w:rsidP="00070C9F">
      <w:pPr>
        <w:spacing w:line="240" w:lineRule="auto"/>
        <w:ind w:right="1440" w:firstLine="0"/>
        <w:jc w:val="both"/>
        <w:rPr>
          <w:sz w:val="22"/>
          <w:szCs w:val="22"/>
        </w:rPr>
      </w:pPr>
    </w:p>
    <w:p w14:paraId="7EC21466" w14:textId="12AF437D" w:rsidR="00527BB4" w:rsidRPr="00585767" w:rsidRDefault="00B1419A" w:rsidP="00ED1EF1">
      <w:r>
        <w:t xml:space="preserve">The </w:t>
      </w:r>
      <w:r w:rsidR="00D24BBB" w:rsidRPr="00585767">
        <w:t xml:space="preserve">Motion </w:t>
      </w:r>
      <w:r w:rsidR="001C3373" w:rsidRPr="00585767">
        <w:t>concerns</w:t>
      </w:r>
      <w:r w:rsidR="00527BB4" w:rsidRPr="00585767">
        <w:t xml:space="preserve"> procedures relating to requests for access to non-public materials subject to protective conditions under subpart C of </w:t>
      </w:r>
      <w:r w:rsidR="003226B1" w:rsidRPr="00585767">
        <w:t xml:space="preserve">39 C.F.R. part </w:t>
      </w:r>
      <w:r w:rsidR="00A942CB" w:rsidRPr="00585767">
        <w:t>3011</w:t>
      </w:r>
      <w:r w:rsidR="00527BB4" w:rsidRPr="00585767">
        <w:t>.  The</w:t>
      </w:r>
      <w:r w:rsidR="000B6398" w:rsidRPr="00585767">
        <w:t xml:space="preserve"> parties do not</w:t>
      </w:r>
      <w:r w:rsidR="00527BB4" w:rsidRPr="00585767">
        <w:t xml:space="preserve"> </w:t>
      </w:r>
      <w:r w:rsidR="000B6398" w:rsidRPr="00585767">
        <w:t>dispute</w:t>
      </w:r>
      <w:r w:rsidR="00527BB4" w:rsidRPr="00585767">
        <w:t xml:space="preserve"> that the materials requested contain commercially sensitive information and th</w:t>
      </w:r>
      <w:r w:rsidR="009C5048" w:rsidRPr="00585767">
        <w:t>at the material is designated by the Postal Service as non-public.</w:t>
      </w:r>
      <w:r w:rsidR="00527BB4" w:rsidRPr="00585767">
        <w:t xml:space="preserve">  Subpart C of </w:t>
      </w:r>
      <w:r w:rsidR="00E84EBB" w:rsidRPr="00585767">
        <w:t>39 C</w:t>
      </w:r>
      <w:r w:rsidR="003226B1" w:rsidRPr="00585767">
        <w:t>.</w:t>
      </w:r>
      <w:r w:rsidR="00E84EBB" w:rsidRPr="00585767">
        <w:t>F</w:t>
      </w:r>
      <w:r w:rsidR="003226B1" w:rsidRPr="00585767">
        <w:t>.</w:t>
      </w:r>
      <w:r w:rsidR="00E84EBB" w:rsidRPr="00585767">
        <w:t>R</w:t>
      </w:r>
      <w:r w:rsidR="003226B1" w:rsidRPr="00585767">
        <w:t>.</w:t>
      </w:r>
      <w:r w:rsidR="00E84EBB" w:rsidRPr="00585767">
        <w:t xml:space="preserve"> part </w:t>
      </w:r>
      <w:r w:rsidR="00BC3A25" w:rsidRPr="00585767">
        <w:t>3011</w:t>
      </w:r>
      <w:r w:rsidR="00E84EBB" w:rsidRPr="00585767">
        <w:t xml:space="preserve"> sets forth rules allowing access to non-public materials that “allow non-public materials to remain under seal and allow specific persons to access the materials subject to protective conditions.”</w:t>
      </w:r>
      <w:r w:rsidR="00E84EBB" w:rsidRPr="00585767">
        <w:rPr>
          <w:rStyle w:val="FootnoteReference"/>
        </w:rPr>
        <w:footnoteReference w:id="11"/>
      </w:r>
    </w:p>
    <w:p w14:paraId="698F2534" w14:textId="7616122D" w:rsidR="00FE4F94" w:rsidRDefault="00A464D0" w:rsidP="00BB68ED">
      <w:r w:rsidRPr="00585767">
        <w:t xml:space="preserve">As directed by 39 U.S.C. § 504(g)(3)(B), the rules in </w:t>
      </w:r>
      <w:r w:rsidR="004B1B20" w:rsidRPr="00585767">
        <w:t>s</w:t>
      </w:r>
      <w:r w:rsidRPr="00585767">
        <w:t>ubpart C of 39 C</w:t>
      </w:r>
      <w:r w:rsidR="003226B1" w:rsidRPr="00585767">
        <w:t>.</w:t>
      </w:r>
      <w:r w:rsidRPr="00585767">
        <w:t>F</w:t>
      </w:r>
      <w:r w:rsidR="003226B1" w:rsidRPr="00585767">
        <w:t>.</w:t>
      </w:r>
      <w:r w:rsidRPr="00585767">
        <w:t>R</w:t>
      </w:r>
      <w:r w:rsidR="003226B1" w:rsidRPr="00585767">
        <w:t>.</w:t>
      </w:r>
      <w:r w:rsidRPr="00585767">
        <w:t xml:space="preserve"> part </w:t>
      </w:r>
      <w:r w:rsidR="00DA1051" w:rsidRPr="00585767">
        <w:t>3011</w:t>
      </w:r>
      <w:r w:rsidRPr="00585767">
        <w:t xml:space="preserve"> state that “[i]n determining whether to grant access to non-public materials, the Commission shall </w:t>
      </w:r>
      <w:r w:rsidR="00DB666C" w:rsidRPr="00585767">
        <w:t xml:space="preserve">balance the interests of the parties consistent with the analysis undertaken by a </w:t>
      </w:r>
      <w:r w:rsidR="00C4338D" w:rsidRPr="00585767">
        <w:t>F</w:t>
      </w:r>
      <w:r w:rsidR="00DB666C" w:rsidRPr="00585767">
        <w:t>ederal court when applying the protective conditions appearing in Federa</w:t>
      </w:r>
      <w:r w:rsidR="008B0140" w:rsidRPr="00585767">
        <w:t>l Rule of Civil Procedure 26(c)</w:t>
      </w:r>
      <w:r w:rsidRPr="00585767">
        <w:t>.</w:t>
      </w:r>
      <w:r w:rsidR="00DB666C" w:rsidRPr="00585767">
        <w:t xml:space="preserve">” </w:t>
      </w:r>
      <w:r w:rsidR="00AF5CAA" w:rsidRPr="00585767">
        <w:t xml:space="preserve"> </w:t>
      </w:r>
      <w:r w:rsidR="00FE56AA" w:rsidRPr="00585767">
        <w:t xml:space="preserve">39 C.F.R. § </w:t>
      </w:r>
      <w:r w:rsidR="00C72F98" w:rsidRPr="00585767">
        <w:t>3011</w:t>
      </w:r>
      <w:r w:rsidR="00FE56AA" w:rsidRPr="00585767">
        <w:t xml:space="preserve">.301(e). </w:t>
      </w:r>
      <w:r w:rsidR="00657E26" w:rsidRPr="00585767">
        <w:t xml:space="preserve"> </w:t>
      </w:r>
      <w:r w:rsidR="00B92C91" w:rsidRPr="00585767">
        <w:t>Federal Rule of Civil Procedure</w:t>
      </w:r>
      <w:r w:rsidR="00AF5CAA" w:rsidRPr="00585767">
        <w:t xml:space="preserve"> 26(c)</w:t>
      </w:r>
      <w:r w:rsidR="00FE743F" w:rsidRPr="00585767">
        <w:t xml:space="preserve"> provides that </w:t>
      </w:r>
      <w:r w:rsidR="00FE743F" w:rsidRPr="00CD5592">
        <w:rPr>
          <w:szCs w:val="24"/>
        </w:rPr>
        <w:t>a</w:t>
      </w:r>
      <w:r w:rsidR="00CD5592" w:rsidRPr="00BB68ED">
        <w:rPr>
          <w:szCs w:val="24"/>
        </w:rPr>
        <w:t xml:space="preserve"> </w:t>
      </w:r>
      <w:r w:rsidR="006D518D" w:rsidRPr="00BB68ED">
        <w:rPr>
          <w:szCs w:val="24"/>
        </w:rPr>
        <w:t>c</w:t>
      </w:r>
      <w:r w:rsidR="00FE743F" w:rsidRPr="00BB68ED">
        <w:rPr>
          <w:szCs w:val="24"/>
        </w:rPr>
        <w:t>ourt may, for good cause, issue an order to protect a party or person from annoyance, embarrassment, oppression, or undue burden or expense,” upon a motion from “[a] party or any person fr</w:t>
      </w:r>
      <w:r w:rsidR="00667508" w:rsidRPr="00BB68ED">
        <w:rPr>
          <w:szCs w:val="24"/>
        </w:rPr>
        <w:t>om whom discovery is sought</w:t>
      </w:r>
      <w:r w:rsidR="00FB2E60" w:rsidRPr="00BB68ED">
        <w:rPr>
          <w:szCs w:val="24"/>
        </w:rPr>
        <w:t xml:space="preserve"> </w:t>
      </w:r>
      <w:r w:rsidR="00667508" w:rsidRPr="00BB68ED">
        <w:rPr>
          <w:szCs w:val="24"/>
        </w:rPr>
        <w:t>…</w:t>
      </w:r>
      <w:r w:rsidR="00FB2E60" w:rsidRPr="00BB68ED">
        <w:rPr>
          <w:szCs w:val="24"/>
        </w:rPr>
        <w:t xml:space="preserve"> </w:t>
      </w:r>
      <w:r w:rsidR="00FE743F" w:rsidRPr="00BB68ED">
        <w:rPr>
          <w:szCs w:val="24"/>
        </w:rPr>
        <w:t>[coupled with] a certification that the movant has in good fai</w:t>
      </w:r>
      <w:r w:rsidR="00FD03AC" w:rsidRPr="00BB68ED">
        <w:rPr>
          <w:szCs w:val="24"/>
        </w:rPr>
        <w:t>th</w:t>
      </w:r>
      <w:r w:rsidR="00FE743F" w:rsidRPr="00BB68ED">
        <w:rPr>
          <w:szCs w:val="24"/>
        </w:rPr>
        <w:t xml:space="preserve"> conferred or attempted to confer with other affected parties in an effort to resolve the dispute without court actio</w:t>
      </w:r>
      <w:r w:rsidR="00250920" w:rsidRPr="00BB68ED">
        <w:rPr>
          <w:szCs w:val="24"/>
        </w:rPr>
        <w:t>n.</w:t>
      </w:r>
      <w:r w:rsidR="003B0EAE">
        <w:rPr>
          <w:szCs w:val="24"/>
        </w:rPr>
        <w:t>”</w:t>
      </w:r>
      <w:r w:rsidR="00CD5592">
        <w:t xml:space="preserve">  </w:t>
      </w:r>
      <w:r w:rsidR="00250920" w:rsidRPr="00585767">
        <w:t>Fed. R. Civ. P. 26(c)(1).</w:t>
      </w:r>
    </w:p>
    <w:p w14:paraId="5FA9ED8E" w14:textId="4BAA6B1F" w:rsidR="00657E26" w:rsidRPr="00585767" w:rsidRDefault="009740CE" w:rsidP="00ED1EF1">
      <w:r w:rsidRPr="00585767">
        <w:lastRenderedPageBreak/>
        <w:t xml:space="preserve">The party </w:t>
      </w:r>
      <w:r w:rsidR="002050E8" w:rsidRPr="00585767">
        <w:t xml:space="preserve">opposing access to non-public information, analogous to </w:t>
      </w:r>
      <w:r w:rsidRPr="00585767">
        <w:t xml:space="preserve">requesting a protective order under </w:t>
      </w:r>
      <w:r w:rsidR="00AF5CAA" w:rsidRPr="00585767">
        <w:t>Fed</w:t>
      </w:r>
      <w:r w:rsidR="003B0EAE">
        <w:t>eral</w:t>
      </w:r>
      <w:r w:rsidR="00AF5CAA" w:rsidRPr="00585767">
        <w:t xml:space="preserve"> R</w:t>
      </w:r>
      <w:r w:rsidR="003B0EAE">
        <w:t>ule of</w:t>
      </w:r>
      <w:r w:rsidR="00AF5CAA" w:rsidRPr="00585767">
        <w:t xml:space="preserve"> Civ</w:t>
      </w:r>
      <w:r w:rsidR="003B0EAE">
        <w:t>il</w:t>
      </w:r>
      <w:r w:rsidR="00AF5CAA" w:rsidRPr="00585767">
        <w:t xml:space="preserve"> P</w:t>
      </w:r>
      <w:r w:rsidR="003B0EAE">
        <w:t>rocedure</w:t>
      </w:r>
      <w:r w:rsidR="00AF5CAA" w:rsidRPr="00585767">
        <w:t xml:space="preserve"> 26(c)</w:t>
      </w:r>
      <w:r w:rsidR="002050E8" w:rsidRPr="00585767">
        <w:t>,</w:t>
      </w:r>
      <w:r w:rsidRPr="00585767">
        <w:t xml:space="preserve"> “bears the burden of making the showing of good cause contemplated by the rule and therefore must make a specific demonstrati</w:t>
      </w:r>
      <w:r w:rsidR="001135A5" w:rsidRPr="00585767">
        <w:t>on</w:t>
      </w:r>
      <w:r w:rsidRPr="00585767">
        <w:t xml:space="preserve"> of facts in support of the request[.]”</w:t>
      </w:r>
      <w:r w:rsidRPr="00585767">
        <w:rPr>
          <w:rStyle w:val="FootnoteReference"/>
        </w:rPr>
        <w:footnoteReference w:id="12"/>
      </w:r>
      <w:r w:rsidRPr="00585767">
        <w:t xml:space="preserve">  Courts reviewing a request for a protective order “must weigh the movant’s proffer of harm against the adversary’s significant interest in preparing for trial.</w:t>
      </w:r>
      <w:r w:rsidR="008A4FB3" w:rsidRPr="00585767">
        <w:t>”</w:t>
      </w:r>
      <w:r w:rsidRPr="00585767">
        <w:t xml:space="preserve">  </w:t>
      </w:r>
      <w:r w:rsidRPr="00585767">
        <w:rPr>
          <w:i/>
        </w:rPr>
        <w:t>Smit</w:t>
      </w:r>
      <w:r w:rsidR="001A0BE6" w:rsidRPr="00585767">
        <w:rPr>
          <w:i/>
        </w:rPr>
        <w:t>h</w:t>
      </w:r>
      <w:r w:rsidR="00C72CEE" w:rsidRPr="00585767">
        <w:t xml:space="preserve">, </w:t>
      </w:r>
      <w:r w:rsidR="00C72CEE" w:rsidRPr="00585767">
        <w:rPr>
          <w:rFonts w:cs="Arial"/>
        </w:rPr>
        <w:t>322 F.R.D.</w:t>
      </w:r>
      <w:r w:rsidRPr="00585767">
        <w:t xml:space="preserve"> at 99</w:t>
      </w:r>
      <w:r w:rsidR="008817E9" w:rsidRPr="00585767">
        <w:t xml:space="preserve"> (internal citations and marks omitted)</w:t>
      </w:r>
      <w:r w:rsidRPr="00585767">
        <w:t xml:space="preserve">.  </w:t>
      </w:r>
      <w:r w:rsidR="00657E26" w:rsidRPr="00585767">
        <w:t xml:space="preserve">When determining whether to limit or deny </w:t>
      </w:r>
      <w:r w:rsidR="00FB0922" w:rsidRPr="00585767">
        <w:t>discovery</w:t>
      </w:r>
      <w:r w:rsidR="00A464D0" w:rsidRPr="00585767">
        <w:t xml:space="preserve"> under this rule</w:t>
      </w:r>
      <w:r w:rsidR="00FB0922" w:rsidRPr="00585767">
        <w:t xml:space="preserve">, the </w:t>
      </w:r>
      <w:r w:rsidR="006702D3" w:rsidRPr="00585767">
        <w:t>U</w:t>
      </w:r>
      <w:r w:rsidR="00006C31" w:rsidRPr="00585767">
        <w:t>nited States</w:t>
      </w:r>
      <w:r w:rsidR="006702D3" w:rsidRPr="00585767">
        <w:t xml:space="preserve"> </w:t>
      </w:r>
      <w:r w:rsidR="009D2D75" w:rsidRPr="00585767">
        <w:t>Court of Appeals for</w:t>
      </w:r>
      <w:r w:rsidR="00FB0922" w:rsidRPr="00585767">
        <w:t xml:space="preserve"> the District of Columbia </w:t>
      </w:r>
      <w:r w:rsidR="00F14C27" w:rsidRPr="00585767">
        <w:t xml:space="preserve">Circuit </w:t>
      </w:r>
      <w:r w:rsidR="00FB0922" w:rsidRPr="00585767">
        <w:t>balances several factors including “the requester’s need for the information from this particular source, its relevance to the litigation at hand, the burden of producing the sought-after material</w:t>
      </w:r>
      <w:r w:rsidR="005B04F0" w:rsidRPr="00585767">
        <w:t>[</w:t>
      </w:r>
      <w:r w:rsidR="00FB0922" w:rsidRPr="00585767">
        <w:t>,</w:t>
      </w:r>
      <w:r w:rsidR="005B04F0" w:rsidRPr="00585767">
        <w:t>]</w:t>
      </w:r>
      <w:r w:rsidR="00FB0922" w:rsidRPr="00585767">
        <w:t xml:space="preserve"> and the harm which disclosure would cause to the party seeking to protect the information.”</w:t>
      </w:r>
      <w:r w:rsidR="00FB0922" w:rsidRPr="00585767">
        <w:rPr>
          <w:rStyle w:val="FootnoteReference"/>
        </w:rPr>
        <w:footnoteReference w:id="13"/>
      </w:r>
      <w:r w:rsidR="00FB0922" w:rsidRPr="00585767">
        <w:t xml:space="preserve">  </w:t>
      </w:r>
      <w:r w:rsidR="009D2D75" w:rsidRPr="00585767">
        <w:t xml:space="preserve">Other </w:t>
      </w:r>
      <w:r w:rsidR="006D4FFC">
        <w:t>F</w:t>
      </w:r>
      <w:r w:rsidR="0034157D" w:rsidRPr="00585767">
        <w:t>ederal courts consider additional factors such as</w:t>
      </w:r>
      <w:r w:rsidR="005A55C6" w:rsidRPr="00585767">
        <w:t xml:space="preserve"> </w:t>
      </w:r>
      <w:r w:rsidR="009D2D75" w:rsidRPr="00585767">
        <w:t xml:space="preserve">whether </w:t>
      </w:r>
      <w:r w:rsidR="00115366" w:rsidRPr="00585767">
        <w:t>the</w:t>
      </w:r>
      <w:r w:rsidR="009D2D75" w:rsidRPr="00585767">
        <w:t xml:space="preserve"> party benefiting from a protective order is a public entity or official and whether </w:t>
      </w:r>
      <w:r w:rsidR="00AF5CAA" w:rsidRPr="00585767">
        <w:t xml:space="preserve">the </w:t>
      </w:r>
      <w:r w:rsidR="009D2D75" w:rsidRPr="00585767">
        <w:t>information relates to issues important to the public.</w:t>
      </w:r>
      <w:r w:rsidR="0034157D" w:rsidRPr="00585767">
        <w:rPr>
          <w:rStyle w:val="FootnoteReference"/>
        </w:rPr>
        <w:footnoteReference w:id="14"/>
      </w:r>
    </w:p>
    <w:p w14:paraId="150B53E7" w14:textId="7568CE4D" w:rsidR="008A4FB3" w:rsidRPr="00585767" w:rsidRDefault="00A464D0" w:rsidP="006A17BF">
      <w:r w:rsidRPr="00585767">
        <w:t>Accordingly, t</w:t>
      </w:r>
      <w:r w:rsidR="008A4FB3" w:rsidRPr="00585767">
        <w:t xml:space="preserve">he Commission’s rules permitting access to non-public materials set forth strict </w:t>
      </w:r>
      <w:r w:rsidRPr="00585767">
        <w:t>conditions that must be met</w:t>
      </w:r>
      <w:r w:rsidR="008A4FB3" w:rsidRPr="00585767">
        <w:t xml:space="preserve"> prior to the disclosure of any information.  </w:t>
      </w:r>
      <w:r w:rsidR="00FE56AA" w:rsidRPr="00585767">
        <w:t xml:space="preserve">Section </w:t>
      </w:r>
      <w:r w:rsidR="001B0C5C" w:rsidRPr="00585767">
        <w:t>3011</w:t>
      </w:r>
      <w:r w:rsidR="008A4FB3" w:rsidRPr="00585767">
        <w:t>.301 requires that a motion requesting access to non-public materials shall “[i]</w:t>
      </w:r>
      <w:proofErr w:type="spellStart"/>
      <w:r w:rsidR="008A4FB3" w:rsidRPr="00585767">
        <w:t>dentify</w:t>
      </w:r>
      <w:proofErr w:type="spellEnd"/>
      <w:r w:rsidR="008A4FB3" w:rsidRPr="00585767">
        <w:t xml:space="preserve"> the particular non-public materials to which the movant seeks access” and “[i]</w:t>
      </w:r>
      <w:proofErr w:type="spellStart"/>
      <w:r w:rsidR="008A4FB3" w:rsidRPr="00585767">
        <w:t>nclude</w:t>
      </w:r>
      <w:proofErr w:type="spellEnd"/>
      <w:r w:rsidR="008A4FB3" w:rsidRPr="00585767">
        <w:t xml:space="preserve"> a detailed statement justifying the requ</w:t>
      </w:r>
      <w:r w:rsidR="000214CF" w:rsidRPr="00585767">
        <w:t>est for access[.]”  39 C.F.R. § </w:t>
      </w:r>
      <w:r w:rsidR="00872A15" w:rsidRPr="00585767">
        <w:t>3011</w:t>
      </w:r>
      <w:r w:rsidR="008A4FB3" w:rsidRPr="00585767">
        <w:t>.301(b)(1)</w:t>
      </w:r>
      <w:r w:rsidR="00415C07">
        <w:t>-</w:t>
      </w:r>
      <w:r w:rsidR="008A4FB3" w:rsidRPr="00585767">
        <w:t>(2).  Additionally, “</w:t>
      </w:r>
      <w:r w:rsidR="00621840" w:rsidRPr="00585767">
        <w:t>[</w:t>
      </w:r>
      <w:r w:rsidR="008A4FB3" w:rsidRPr="00585767">
        <w:t>i</w:t>
      </w:r>
      <w:r w:rsidR="00621840" w:rsidRPr="00585767">
        <w:t>]</w:t>
      </w:r>
      <w:r w:rsidR="008A4FB3" w:rsidRPr="00585767">
        <w:t xml:space="preserve">f access is sought to aid participation in any pending </w:t>
      </w:r>
      <w:r w:rsidR="0025082C" w:rsidRPr="00585767">
        <w:t xml:space="preserve">Commission </w:t>
      </w:r>
      <w:r w:rsidR="008A4FB3" w:rsidRPr="00585767">
        <w:t>proceeding, the motion shall identify all proceedings (including compliance proceedings) in which the movant proposes to use the materials and how those materials are relevant to those proceedings</w:t>
      </w:r>
      <w:r w:rsidR="00621840" w:rsidRPr="00585767">
        <w:t>[</w:t>
      </w:r>
      <w:r w:rsidR="008A4FB3" w:rsidRPr="00585767">
        <w:t>.</w:t>
      </w:r>
      <w:r w:rsidR="00621840" w:rsidRPr="00585767">
        <w:t>]</w:t>
      </w:r>
      <w:r w:rsidR="008A4FB3" w:rsidRPr="00585767">
        <w:t xml:space="preserve">” </w:t>
      </w:r>
      <w:r w:rsidR="002050E8" w:rsidRPr="00585767">
        <w:t xml:space="preserve"> </w:t>
      </w:r>
      <w:r w:rsidR="008A4FB3" w:rsidRPr="00585767">
        <w:rPr>
          <w:i/>
        </w:rPr>
        <w:t>Id.</w:t>
      </w:r>
      <w:r w:rsidR="008A4FB3" w:rsidRPr="00585767">
        <w:t xml:space="preserve"> § </w:t>
      </w:r>
      <w:r w:rsidR="001E6CB2" w:rsidRPr="00585767">
        <w:t>3011</w:t>
      </w:r>
      <w:r w:rsidR="008A4FB3" w:rsidRPr="00585767">
        <w:t xml:space="preserve">.301(b)(2)(i).  The </w:t>
      </w:r>
      <w:r w:rsidR="008A4FB3" w:rsidRPr="00585767">
        <w:lastRenderedPageBreak/>
        <w:t>motion must “[a]</w:t>
      </w:r>
      <w:proofErr w:type="spellStart"/>
      <w:r w:rsidR="008A4FB3" w:rsidRPr="00585767">
        <w:t>ttach</w:t>
      </w:r>
      <w:proofErr w:type="spellEnd"/>
      <w:r w:rsidR="008A4FB3" w:rsidRPr="00585767">
        <w:t xml:space="preserve"> a description of protective conditions completed and </w:t>
      </w:r>
      <w:r w:rsidR="00392B9D" w:rsidRPr="00585767">
        <w:t>signed by the movant</w:t>
      </w:r>
      <w:r w:rsidR="008A4FB3" w:rsidRPr="00585767">
        <w:t>’s attorney or non-attorney representative,” and it must “[a]</w:t>
      </w:r>
      <w:proofErr w:type="spellStart"/>
      <w:r w:rsidR="008A4FB3" w:rsidRPr="00585767">
        <w:t>ttach</w:t>
      </w:r>
      <w:proofErr w:type="spellEnd"/>
      <w:r w:rsidR="008A4FB3" w:rsidRPr="00585767">
        <w:t xml:space="preserve"> a certification to comply with protective conditions executed by </w:t>
      </w:r>
      <w:r w:rsidR="003A7928" w:rsidRPr="00585767">
        <w:t xml:space="preserve">each </w:t>
      </w:r>
      <w:r w:rsidR="008A4FB3" w:rsidRPr="00585767">
        <w:t xml:space="preserve">person (and any individual working on behalf of that person) seeking access[.]”  </w:t>
      </w:r>
      <w:r w:rsidR="008A4FB3" w:rsidRPr="00585767">
        <w:rPr>
          <w:i/>
        </w:rPr>
        <w:t>Id.</w:t>
      </w:r>
      <w:r w:rsidR="008A4FB3" w:rsidRPr="00585767">
        <w:t xml:space="preserve"> § </w:t>
      </w:r>
      <w:r w:rsidR="001E6CB2" w:rsidRPr="00585767">
        <w:t>3011</w:t>
      </w:r>
      <w:r w:rsidR="008A4FB3" w:rsidRPr="00585767">
        <w:t>.301(b)(5)</w:t>
      </w:r>
      <w:r w:rsidR="00415C07">
        <w:t>-</w:t>
      </w:r>
      <w:r w:rsidR="008A4FB3" w:rsidRPr="00585767">
        <w:t>(6).  Furthermore, for individuals to be eligible for access, they must not be involved in “competitive decision-making for any individual or entity that might gain competitive advantage from using non-public materials</w:t>
      </w:r>
      <w:r w:rsidR="00AB5D9C" w:rsidRPr="00585767">
        <w:t>[.]</w:t>
      </w:r>
      <w:r w:rsidR="008A4FB3" w:rsidRPr="00585767">
        <w:t>”</w:t>
      </w:r>
      <w:r w:rsidR="008A4FB3" w:rsidRPr="00585767">
        <w:rPr>
          <w:rStyle w:val="FootnoteReference"/>
        </w:rPr>
        <w:footnoteReference w:id="15"/>
      </w:r>
    </w:p>
    <w:p w14:paraId="58712848" w14:textId="43A2E9CB" w:rsidR="00B60802" w:rsidRPr="00585767" w:rsidRDefault="00B60802" w:rsidP="00ED1EF1">
      <w:pPr>
        <w:pStyle w:val="Heading2"/>
        <w:numPr>
          <w:ilvl w:val="0"/>
          <w:numId w:val="28"/>
        </w:numPr>
        <w:ind w:left="1440" w:hanging="720"/>
      </w:pPr>
      <w:r>
        <w:t xml:space="preserve">The Motion </w:t>
      </w:r>
      <w:r w:rsidR="00E778CE">
        <w:t>complies with the Commission’s rules governing access to non-public material.</w:t>
      </w:r>
    </w:p>
    <w:p w14:paraId="6E9E8D4C" w14:textId="53C1CCC8" w:rsidR="00434058" w:rsidRPr="00585767" w:rsidRDefault="00D523ED" w:rsidP="00ED1EF1">
      <w:r>
        <w:t xml:space="preserve">In reviewing the </w:t>
      </w:r>
      <w:r w:rsidR="00D24BBB" w:rsidRPr="00585767">
        <w:t>Motion and the Postal Service R</w:t>
      </w:r>
      <w:r w:rsidR="002050E8" w:rsidRPr="00585767">
        <w:t>esponse</w:t>
      </w:r>
      <w:r w:rsidR="00CD7195" w:rsidRPr="00585767">
        <w:t>,</w:t>
      </w:r>
      <w:r w:rsidR="00342A16" w:rsidRPr="00585767">
        <w:t xml:space="preserve"> the Commission will first determine wh</w:t>
      </w:r>
      <w:r w:rsidR="00D24BBB" w:rsidRPr="00585767">
        <w:t>ether UPS</w:t>
      </w:r>
      <w:r w:rsidR="00342A16" w:rsidRPr="00585767">
        <w:t xml:space="preserve"> complied with the Commission’s rules governing access to non-</w:t>
      </w:r>
      <w:r w:rsidR="00A85A65" w:rsidRPr="00585767">
        <w:t>public</w:t>
      </w:r>
      <w:r w:rsidR="00E82F3A" w:rsidRPr="00585767">
        <w:t xml:space="preserve"> material.  If</w:t>
      </w:r>
      <w:r w:rsidR="00A85A65" w:rsidRPr="00585767">
        <w:t xml:space="preserve"> UPS</w:t>
      </w:r>
      <w:r w:rsidR="00342A16" w:rsidRPr="00585767">
        <w:t xml:space="preserve"> complied, the Commission </w:t>
      </w:r>
      <w:proofErr w:type="gramStart"/>
      <w:r w:rsidR="00342A16" w:rsidRPr="00585767">
        <w:t>will</w:t>
      </w:r>
      <w:proofErr w:type="gramEnd"/>
      <w:r w:rsidR="00342A16" w:rsidRPr="00585767">
        <w:t xml:space="preserve"> then balance the interests of the parties to determine whether access should be granted</w:t>
      </w:r>
      <w:r w:rsidR="002050E8" w:rsidRPr="00585767">
        <w:t xml:space="preserve"> or whether good cause has been shown to deny access</w:t>
      </w:r>
      <w:r w:rsidR="00342A16" w:rsidRPr="00585767">
        <w:t>.</w:t>
      </w:r>
    </w:p>
    <w:p w14:paraId="6B1E851F" w14:textId="0A0840DF" w:rsidR="001116C5" w:rsidRPr="00585767" w:rsidRDefault="001116C5" w:rsidP="000A365A">
      <w:r w:rsidRPr="00585767">
        <w:t xml:space="preserve">In accordance with section </w:t>
      </w:r>
      <w:r w:rsidR="001E6CB2" w:rsidRPr="00585767">
        <w:t>3011</w:t>
      </w:r>
      <w:r w:rsidRPr="00585767">
        <w:t>.</w:t>
      </w:r>
      <w:r w:rsidR="00AF5CAA" w:rsidRPr="00585767">
        <w:t>3</w:t>
      </w:r>
      <w:r w:rsidRPr="00585767">
        <w:t xml:space="preserve">01, </w:t>
      </w:r>
      <w:r w:rsidR="00D523ED">
        <w:t xml:space="preserve">the </w:t>
      </w:r>
      <w:r w:rsidR="00D24BBB" w:rsidRPr="00585767">
        <w:t>Motion</w:t>
      </w:r>
      <w:r w:rsidR="00B84018" w:rsidRPr="00585767">
        <w:t xml:space="preserve"> </w:t>
      </w:r>
      <w:r w:rsidR="001F46F5" w:rsidRPr="00585767">
        <w:t>include</w:t>
      </w:r>
      <w:r w:rsidR="00D24BBB" w:rsidRPr="00585767">
        <w:t>s</w:t>
      </w:r>
      <w:r w:rsidR="001F46F5" w:rsidRPr="00585767">
        <w:t xml:space="preserve"> a list of non-public library references to which </w:t>
      </w:r>
      <w:r w:rsidR="00D24BBB" w:rsidRPr="00585767">
        <w:t>it</w:t>
      </w:r>
      <w:r w:rsidR="001F46F5" w:rsidRPr="00585767">
        <w:t xml:space="preserve"> request</w:t>
      </w:r>
      <w:r w:rsidR="00D24BBB" w:rsidRPr="00585767">
        <w:t>s</w:t>
      </w:r>
      <w:r w:rsidR="001F46F5" w:rsidRPr="00585767">
        <w:t xml:space="preserve"> access</w:t>
      </w:r>
      <w:r w:rsidRPr="00585767">
        <w:t>,</w:t>
      </w:r>
      <w:r w:rsidR="001F46F5" w:rsidRPr="00585767">
        <w:rPr>
          <w:rStyle w:val="FootnoteReference"/>
        </w:rPr>
        <w:footnoteReference w:id="16"/>
      </w:r>
      <w:r w:rsidR="001F46F5" w:rsidRPr="00585767">
        <w:t xml:space="preserve"> </w:t>
      </w:r>
      <w:r w:rsidR="00D24BBB" w:rsidRPr="00585767">
        <w:t>specifies</w:t>
      </w:r>
      <w:r w:rsidR="00AF5CAA" w:rsidRPr="00585767">
        <w:t xml:space="preserve"> that </w:t>
      </w:r>
      <w:r w:rsidRPr="00585767">
        <w:t xml:space="preserve">access </w:t>
      </w:r>
      <w:r w:rsidR="00AF5CAA" w:rsidRPr="00585767">
        <w:t xml:space="preserve">is </w:t>
      </w:r>
      <w:r w:rsidRPr="00585767">
        <w:t>for the purpose of</w:t>
      </w:r>
      <w:r w:rsidR="00EE6734" w:rsidRPr="00585767">
        <w:t xml:space="preserve"> assisting UPS in</w:t>
      </w:r>
      <w:r w:rsidRPr="00585767">
        <w:t xml:space="preserve"> </w:t>
      </w:r>
      <w:r w:rsidR="009F663D" w:rsidRPr="00585767">
        <w:t>preparing</w:t>
      </w:r>
      <w:r w:rsidRPr="00585767">
        <w:t xml:space="preserve"> comments in </w:t>
      </w:r>
      <w:r w:rsidR="00D523ED">
        <w:t>the FY 202</w:t>
      </w:r>
      <w:r w:rsidR="001C2163">
        <w:t>2</w:t>
      </w:r>
      <w:r w:rsidRPr="00585767">
        <w:t xml:space="preserve"> </w:t>
      </w:r>
      <w:r w:rsidR="009F663D" w:rsidRPr="00585767">
        <w:t>Annual Compliance Review proceeding</w:t>
      </w:r>
      <w:r w:rsidRPr="00585767">
        <w:t>,</w:t>
      </w:r>
      <w:r w:rsidR="001F46F5" w:rsidRPr="00585767">
        <w:rPr>
          <w:rStyle w:val="FootnoteReference"/>
        </w:rPr>
        <w:footnoteReference w:id="17"/>
      </w:r>
      <w:r w:rsidR="00D545C6" w:rsidRPr="00585767">
        <w:t xml:space="preserve"> </w:t>
      </w:r>
      <w:r w:rsidRPr="00585767">
        <w:t>and provide</w:t>
      </w:r>
      <w:r w:rsidR="00D24BBB" w:rsidRPr="00585767">
        <w:t>s</w:t>
      </w:r>
      <w:r w:rsidR="00D545C6" w:rsidRPr="00585767">
        <w:t xml:space="preserve"> </w:t>
      </w:r>
      <w:r w:rsidR="00043D61" w:rsidRPr="00585767">
        <w:t xml:space="preserve">the requisite </w:t>
      </w:r>
      <w:r w:rsidR="00D545C6" w:rsidRPr="00585767">
        <w:t>statement</w:t>
      </w:r>
      <w:r w:rsidRPr="00585767">
        <w:t>s</w:t>
      </w:r>
      <w:r w:rsidR="00D545C6" w:rsidRPr="00585767">
        <w:t xml:space="preserve"> of protective conditions and signed certifications </w:t>
      </w:r>
      <w:r w:rsidR="00C920AF" w:rsidRPr="00585767">
        <w:t xml:space="preserve">from </w:t>
      </w:r>
      <w:r w:rsidR="00D545C6" w:rsidRPr="00585767">
        <w:t>each ind</w:t>
      </w:r>
      <w:r w:rsidR="00A85A65" w:rsidRPr="00585767">
        <w:t>ividual for whom UPS</w:t>
      </w:r>
      <w:r w:rsidR="00D545C6" w:rsidRPr="00585767">
        <w:t xml:space="preserve"> seek</w:t>
      </w:r>
      <w:r w:rsidR="00A85A65" w:rsidRPr="00585767">
        <w:t>s</w:t>
      </w:r>
      <w:r w:rsidR="00D545C6" w:rsidRPr="00585767">
        <w:t xml:space="preserve"> access.</w:t>
      </w:r>
      <w:r w:rsidR="00D545C6" w:rsidRPr="00585767">
        <w:rPr>
          <w:rStyle w:val="FootnoteReference"/>
        </w:rPr>
        <w:footnoteReference w:id="18"/>
      </w:r>
      <w:r w:rsidR="00D055DF" w:rsidRPr="00585767">
        <w:t xml:space="preserve">  </w:t>
      </w:r>
      <w:r w:rsidR="00B84018" w:rsidRPr="00585767">
        <w:t>Therefore,</w:t>
      </w:r>
      <w:r w:rsidR="00D523ED">
        <w:t xml:space="preserve"> the </w:t>
      </w:r>
      <w:r w:rsidR="00A85A65" w:rsidRPr="00585767">
        <w:t>Motion</w:t>
      </w:r>
      <w:r w:rsidR="00B84018" w:rsidRPr="00585767">
        <w:t xml:space="preserve"> </w:t>
      </w:r>
      <w:r w:rsidR="00B84018" w:rsidRPr="00585767">
        <w:lastRenderedPageBreak/>
        <w:t>s</w:t>
      </w:r>
      <w:r w:rsidR="00A85A65" w:rsidRPr="00585767">
        <w:t xml:space="preserve">atisfies the requirements under section </w:t>
      </w:r>
      <w:r w:rsidR="001E6CB2" w:rsidRPr="00585767">
        <w:t>3011</w:t>
      </w:r>
      <w:r w:rsidR="00A85A65" w:rsidRPr="00585767">
        <w:t>.301 and meets</w:t>
      </w:r>
      <w:r w:rsidR="00B84018" w:rsidRPr="00585767">
        <w:t xml:space="preserve"> the necessary conditions to receive access to non-public informatio</w:t>
      </w:r>
      <w:r w:rsidR="00210699" w:rsidRPr="00585767">
        <w:t>n under protective conditions.</w:t>
      </w:r>
    </w:p>
    <w:p w14:paraId="2A3C0CBF" w14:textId="75BA038E" w:rsidR="00100055" w:rsidRPr="00585767" w:rsidRDefault="00D523ED" w:rsidP="00ED1EF1">
      <w:r>
        <w:t xml:space="preserve">The </w:t>
      </w:r>
      <w:r w:rsidR="00A85A65" w:rsidRPr="00585767">
        <w:t>Motion properly identifies</w:t>
      </w:r>
      <w:r w:rsidR="00100055" w:rsidRPr="00585767">
        <w:t xml:space="preserve"> the non-public library references sought for the purpose of reviewing the Postal Service’s compliance in th</w:t>
      </w:r>
      <w:r w:rsidR="00C25576" w:rsidRPr="00585767">
        <w:t>is</w:t>
      </w:r>
      <w:r w:rsidR="00A85A65" w:rsidRPr="00585767">
        <w:t xml:space="preserve"> docket.  UPS has</w:t>
      </w:r>
      <w:r w:rsidR="00100055" w:rsidRPr="00585767">
        <w:t xml:space="preserve"> </w:t>
      </w:r>
      <w:r w:rsidR="0054059E">
        <w:t>articulated</w:t>
      </w:r>
      <w:r w:rsidR="0054059E" w:rsidRPr="00585767">
        <w:t xml:space="preserve"> </w:t>
      </w:r>
      <w:r w:rsidR="00975B01">
        <w:t>its</w:t>
      </w:r>
      <w:r w:rsidR="00100055" w:rsidRPr="00585767">
        <w:t xml:space="preserve"> need for accessing the requested library references</w:t>
      </w:r>
      <w:r w:rsidR="00422BBA">
        <w:t>:</w:t>
      </w:r>
      <w:r w:rsidR="00100055" w:rsidRPr="00585767">
        <w:t xml:space="preserve"> namely</w:t>
      </w:r>
      <w:r w:rsidR="00422BBA">
        <w:t>,</w:t>
      </w:r>
      <w:r w:rsidR="00100055" w:rsidRPr="00585767">
        <w:t xml:space="preserve"> to review the Postal Service</w:t>
      </w:r>
      <w:r w:rsidR="003F36D5">
        <w:t>’s compliance</w:t>
      </w:r>
      <w:r w:rsidR="00100055" w:rsidRPr="00585767">
        <w:t xml:space="preserve"> with applicable statutes and regulations in </w:t>
      </w:r>
      <w:r w:rsidR="00A85A65" w:rsidRPr="00585767">
        <w:t>FY 20</w:t>
      </w:r>
      <w:r>
        <w:t>2</w:t>
      </w:r>
      <w:r w:rsidR="001C2163">
        <w:t>2</w:t>
      </w:r>
      <w:r w:rsidR="0035385F" w:rsidRPr="00585767">
        <w:t xml:space="preserve"> </w:t>
      </w:r>
      <w:r w:rsidR="00100055" w:rsidRPr="00585767">
        <w:t>and to provide informed comments in the instant docket.</w:t>
      </w:r>
      <w:r w:rsidR="00CC2D8B">
        <w:rPr>
          <w:rStyle w:val="FootnoteReference"/>
          <w:rFonts w:cs="Arial"/>
        </w:rPr>
        <w:footnoteReference w:id="19"/>
      </w:r>
      <w:r w:rsidR="00D6563F" w:rsidRPr="00585767">
        <w:rPr>
          <w:rFonts w:cs="Arial"/>
        </w:rPr>
        <w:t xml:space="preserve">  </w:t>
      </w:r>
      <w:r w:rsidR="00100055" w:rsidRPr="00585767">
        <w:t xml:space="preserve">The Commission </w:t>
      </w:r>
      <w:r w:rsidR="00A85A65" w:rsidRPr="00585767">
        <w:t xml:space="preserve">has </w:t>
      </w:r>
      <w:r w:rsidR="00100055" w:rsidRPr="00585767">
        <w:t>previously recognized th</w:t>
      </w:r>
      <w:r w:rsidR="00043D61" w:rsidRPr="00585767">
        <w:t>at th</w:t>
      </w:r>
      <w:r w:rsidR="00100055" w:rsidRPr="00585767">
        <w:t>e need to access non-public data for the purposes of participating in a proceeding is a legitimate purpose upon which the Commission may grant access.</w:t>
      </w:r>
      <w:r w:rsidR="00100055" w:rsidRPr="00585767">
        <w:rPr>
          <w:rStyle w:val="FootnoteReference"/>
        </w:rPr>
        <w:footnoteReference w:id="20"/>
      </w:r>
    </w:p>
    <w:p w14:paraId="5CC1C604" w14:textId="3757A463" w:rsidR="001116C5" w:rsidRPr="00585767" w:rsidRDefault="00100055" w:rsidP="00ED1EF1">
      <w:r w:rsidRPr="00585767">
        <w:t xml:space="preserve">The </w:t>
      </w:r>
      <w:r w:rsidR="00A85A65" w:rsidRPr="00585767">
        <w:t>Motion also complies</w:t>
      </w:r>
      <w:r w:rsidRPr="00585767">
        <w:t xml:space="preserve"> with the Commission’s strict protective conditions required </w:t>
      </w:r>
      <w:proofErr w:type="gramStart"/>
      <w:r w:rsidR="00043D61" w:rsidRPr="00585767">
        <w:t>in order to</w:t>
      </w:r>
      <w:proofErr w:type="gramEnd"/>
      <w:r w:rsidR="00043D61" w:rsidRPr="00585767">
        <w:t xml:space="preserve"> gain </w:t>
      </w:r>
      <w:r w:rsidRPr="00585767">
        <w:t xml:space="preserve">access to non-public, commercially sensitive materials.  </w:t>
      </w:r>
      <w:r w:rsidR="001116C5" w:rsidRPr="00585767">
        <w:t xml:space="preserve">The </w:t>
      </w:r>
      <w:r w:rsidR="00B85CB1" w:rsidRPr="00585767">
        <w:t>protective conditions provide</w:t>
      </w:r>
      <w:r w:rsidR="001116C5" w:rsidRPr="00585767">
        <w:t>d un</w:t>
      </w:r>
      <w:r w:rsidR="00A85A65" w:rsidRPr="00585767">
        <w:t>der the Commission’s rules</w:t>
      </w:r>
      <w:r w:rsidR="001116C5" w:rsidRPr="00585767">
        <w:t xml:space="preserve"> strictly prohibit any </w:t>
      </w:r>
      <w:r w:rsidR="00B85CB1" w:rsidRPr="00585767">
        <w:t xml:space="preserve">“person involved in competitive decision-making for any individual or entity that </w:t>
      </w:r>
      <w:r w:rsidR="009D3B76" w:rsidRPr="00585767">
        <w:t>might</w:t>
      </w:r>
      <w:r w:rsidR="00B85CB1" w:rsidRPr="00585767">
        <w:t xml:space="preserve"> gain competitive advantage” </w:t>
      </w:r>
      <w:r w:rsidR="001116C5" w:rsidRPr="00585767">
        <w:t>from gaining access to the non-public l</w:t>
      </w:r>
      <w:r w:rsidR="00B85CB1" w:rsidRPr="00585767">
        <w:t>ibrary references at issue.</w:t>
      </w:r>
      <w:r w:rsidR="00BE0D8D" w:rsidRPr="00585767">
        <w:t xml:space="preserve">  </w:t>
      </w:r>
      <w:r w:rsidR="004D249D" w:rsidRPr="00585767">
        <w:t xml:space="preserve">39 C.F.R. </w:t>
      </w:r>
      <w:r w:rsidR="00CC1213" w:rsidRPr="00585767">
        <w:rPr>
          <w:rFonts w:cs="Arial"/>
        </w:rPr>
        <w:t>§</w:t>
      </w:r>
      <w:r w:rsidR="00CC1213" w:rsidRPr="00585767">
        <w:t xml:space="preserve"> </w:t>
      </w:r>
      <w:r w:rsidR="004D249D" w:rsidRPr="00585767">
        <w:t>3011.300</w:t>
      </w:r>
      <w:r w:rsidR="00C55FCD">
        <w:t>(b)</w:t>
      </w:r>
      <w:r w:rsidR="004D249D" w:rsidRPr="00585767">
        <w:t xml:space="preserve">.  </w:t>
      </w:r>
      <w:r w:rsidR="001116C5" w:rsidRPr="00585767">
        <w:t>None of the indi</w:t>
      </w:r>
      <w:r w:rsidR="00A85A65" w:rsidRPr="00585767">
        <w:t>viduals for whom UPS</w:t>
      </w:r>
      <w:r w:rsidR="001116C5" w:rsidRPr="00585767">
        <w:t xml:space="preserve"> request</w:t>
      </w:r>
      <w:r w:rsidR="00A85A65" w:rsidRPr="00585767">
        <w:t>s</w:t>
      </w:r>
      <w:r w:rsidR="001116C5" w:rsidRPr="00585767">
        <w:t xml:space="preserve"> access are involved in competitive decision-making. </w:t>
      </w:r>
      <w:r w:rsidR="002D73BB" w:rsidRPr="00585767">
        <w:t xml:space="preserve"> </w:t>
      </w:r>
      <w:r w:rsidR="00D25F64">
        <w:t xml:space="preserve">Motion at 11.  </w:t>
      </w:r>
      <w:r w:rsidR="001116C5" w:rsidRPr="00585767">
        <w:t xml:space="preserve">UPS states that it is requesting access for only outside counsel and outside consultants.  </w:t>
      </w:r>
      <w:r w:rsidR="00CC1DB9">
        <w:rPr>
          <w:i/>
          <w:iCs/>
        </w:rPr>
        <w:t>Id</w:t>
      </w:r>
      <w:r w:rsidR="00CC1DB9">
        <w:t>.</w:t>
      </w:r>
      <w:r w:rsidR="00BE0D8D" w:rsidRPr="00585767">
        <w:rPr>
          <w:i/>
        </w:rPr>
        <w:t xml:space="preserve"> </w:t>
      </w:r>
      <w:r w:rsidR="00E63A42" w:rsidRPr="00585767">
        <w:t>at 2.</w:t>
      </w:r>
    </w:p>
    <w:p w14:paraId="10D65E00" w14:textId="384A477A" w:rsidR="00FD03AC" w:rsidRPr="00585767" w:rsidRDefault="00B85CB1" w:rsidP="00ED1EF1">
      <w:r w:rsidRPr="00585767">
        <w:t xml:space="preserve">Additionally, </w:t>
      </w:r>
      <w:r w:rsidR="001116C5" w:rsidRPr="00585767">
        <w:t xml:space="preserve">the named </w:t>
      </w:r>
      <w:r w:rsidRPr="00585767">
        <w:t xml:space="preserve">individuals for whom access is requested </w:t>
      </w:r>
      <w:r w:rsidR="001116C5" w:rsidRPr="00585767">
        <w:t xml:space="preserve">certify that they will not </w:t>
      </w:r>
      <w:r w:rsidRPr="00585767">
        <w:t xml:space="preserve">disseminate information contained in the </w:t>
      </w:r>
      <w:r w:rsidR="001116C5" w:rsidRPr="00585767">
        <w:t xml:space="preserve">non-public </w:t>
      </w:r>
      <w:r w:rsidRPr="00585767">
        <w:t xml:space="preserve">library references to any person not granted access and </w:t>
      </w:r>
      <w:r w:rsidR="001116C5" w:rsidRPr="00585767">
        <w:t xml:space="preserve">will act to </w:t>
      </w:r>
      <w:r w:rsidRPr="00585767">
        <w:t>protect the material from any person not authorized to obtain access.</w:t>
      </w:r>
      <w:r w:rsidR="00BD7DF5" w:rsidRPr="00585767">
        <w:t xml:space="preserve"> </w:t>
      </w:r>
      <w:r w:rsidR="002D73BB" w:rsidRPr="00585767">
        <w:t xml:space="preserve"> </w:t>
      </w:r>
      <w:r w:rsidR="008F1F1D" w:rsidRPr="00585767">
        <w:rPr>
          <w:i/>
        </w:rPr>
        <w:t>Id.</w:t>
      </w:r>
      <w:r w:rsidR="00D523ED" w:rsidRPr="00D523ED">
        <w:t xml:space="preserve"> </w:t>
      </w:r>
      <w:r w:rsidR="00D523ED">
        <w:t xml:space="preserve">Exhibit 1; </w:t>
      </w:r>
      <w:r w:rsidR="008772A3">
        <w:t>Motion,</w:t>
      </w:r>
      <w:r w:rsidR="00D523ED">
        <w:t xml:space="preserve"> Appendix A to Part 3011</w:t>
      </w:r>
      <w:r w:rsidR="00D523ED" w:rsidRPr="00585767">
        <w:t>.</w:t>
      </w:r>
      <w:r w:rsidR="00D523ED">
        <w:t xml:space="preserve">  </w:t>
      </w:r>
      <w:r w:rsidR="001116C5" w:rsidRPr="00585767">
        <w:t xml:space="preserve">The </w:t>
      </w:r>
      <w:r w:rsidR="001116C5" w:rsidRPr="00585767">
        <w:lastRenderedPageBreak/>
        <w:t xml:space="preserve">certifications provide that the non-public materials will only be accessed for purposes of </w:t>
      </w:r>
      <w:r w:rsidR="00C920AF" w:rsidRPr="00585767">
        <w:t xml:space="preserve">informing comments submitted in </w:t>
      </w:r>
      <w:r w:rsidR="001116C5" w:rsidRPr="00585767">
        <w:t xml:space="preserve">the instant proceeding and that any violation of the extensive protective conditions may result in sanctions by the Commission against </w:t>
      </w:r>
      <w:r w:rsidRPr="00585767">
        <w:t>any person who violates these protective conditions and/or on the persons or entities on whose behalf the individual was acting.</w:t>
      </w:r>
      <w:r w:rsidR="001401D9" w:rsidRPr="00585767">
        <w:t xml:space="preserve">  </w:t>
      </w:r>
      <w:r w:rsidR="00A94CF2" w:rsidRPr="00585767">
        <w:rPr>
          <w:rFonts w:cs="Arial"/>
          <w:i/>
        </w:rPr>
        <w:t>Id.</w:t>
      </w:r>
    </w:p>
    <w:p w14:paraId="0AE0D19D" w14:textId="77777777" w:rsidR="00100055" w:rsidRPr="00585767" w:rsidRDefault="00100055" w:rsidP="001F46F5">
      <w:r w:rsidRPr="00585767">
        <w:t xml:space="preserve">Therefore, </w:t>
      </w:r>
      <w:r w:rsidR="00094A33" w:rsidRPr="00585767">
        <w:t>UPS has</w:t>
      </w:r>
      <w:r w:rsidRPr="00585767">
        <w:t xml:space="preserve"> demonstrated compliance with the Commission’s rules permitting access to non-public information.</w:t>
      </w:r>
    </w:p>
    <w:p w14:paraId="6DD61C92" w14:textId="4A546253" w:rsidR="00E303CB" w:rsidRPr="00585767" w:rsidRDefault="00183085" w:rsidP="00CE5106">
      <w:pPr>
        <w:pStyle w:val="Heading2"/>
      </w:pPr>
      <w:r w:rsidRPr="00585767">
        <w:t xml:space="preserve">The Postal Service has not </w:t>
      </w:r>
      <w:r w:rsidR="000D7A33" w:rsidRPr="00585767">
        <w:t>m</w:t>
      </w:r>
      <w:r w:rsidRPr="00585767">
        <w:t xml:space="preserve">ade a </w:t>
      </w:r>
      <w:r w:rsidR="000D7A33" w:rsidRPr="00585767">
        <w:t>s</w:t>
      </w:r>
      <w:r w:rsidRPr="00585767">
        <w:t xml:space="preserve">howing of </w:t>
      </w:r>
      <w:r w:rsidR="000D7A33" w:rsidRPr="00585767">
        <w:t>g</w:t>
      </w:r>
      <w:r w:rsidRPr="00585767">
        <w:t xml:space="preserve">ood </w:t>
      </w:r>
      <w:r w:rsidR="000D7A33" w:rsidRPr="00585767">
        <w:t>c</w:t>
      </w:r>
      <w:r w:rsidRPr="00585767">
        <w:t xml:space="preserve">ause to </w:t>
      </w:r>
      <w:r w:rsidR="000D7A33" w:rsidRPr="00585767">
        <w:t>d</w:t>
      </w:r>
      <w:r w:rsidRPr="00585767">
        <w:t xml:space="preserve">eny </w:t>
      </w:r>
      <w:r w:rsidR="000D7A33" w:rsidRPr="00585767">
        <w:t>a</w:t>
      </w:r>
      <w:r w:rsidRPr="00585767">
        <w:t>ccess</w:t>
      </w:r>
      <w:r w:rsidR="000D7A33" w:rsidRPr="00585767">
        <w:t>.</w:t>
      </w:r>
    </w:p>
    <w:p w14:paraId="4A12F125" w14:textId="77777777" w:rsidR="001650D4" w:rsidRPr="00585767" w:rsidRDefault="005E0BD6" w:rsidP="00ED1EF1">
      <w:r w:rsidRPr="00585767">
        <w:t xml:space="preserve">The Postal Service has not made a showing of good cause to deny access to </w:t>
      </w:r>
      <w:proofErr w:type="gramStart"/>
      <w:r w:rsidRPr="00585767">
        <w:t>UPS’s</w:t>
      </w:r>
      <w:proofErr w:type="gramEnd"/>
      <w:r w:rsidRPr="00585767">
        <w:t xml:space="preserve"> outside counsel and consultants for the reasons</w:t>
      </w:r>
      <w:r w:rsidR="00C920AF" w:rsidRPr="00585767">
        <w:t xml:space="preserve"> discussed below</w:t>
      </w:r>
      <w:r w:rsidR="00074765" w:rsidRPr="00585767">
        <w:t>.</w:t>
      </w:r>
    </w:p>
    <w:p w14:paraId="53B9E5B1" w14:textId="437ED122" w:rsidR="00083F8D" w:rsidRPr="00585767" w:rsidRDefault="00D523ED" w:rsidP="00ED1EF1">
      <w:r>
        <w:t>As noted previously, the Postal Service does not explici</w:t>
      </w:r>
      <w:r w:rsidR="00C00DC3">
        <w:t xml:space="preserve">tly indicate that it opposes the Motion.  </w:t>
      </w:r>
      <w:r w:rsidR="0020699B">
        <w:t>Presumably</w:t>
      </w:r>
      <w:r w:rsidR="00C00DC3">
        <w:t>, as opposition</w:t>
      </w:r>
      <w:r w:rsidR="00342A16" w:rsidRPr="00585767">
        <w:t>, the Postal Servi</w:t>
      </w:r>
      <w:r w:rsidR="00C00DC3">
        <w:t xml:space="preserve">ce includes letters from two </w:t>
      </w:r>
      <w:r w:rsidR="00342A16" w:rsidRPr="00585767">
        <w:t>third parties indicating their opposition to access because the</w:t>
      </w:r>
      <w:r w:rsidR="00E82F3A" w:rsidRPr="00585767">
        <w:t>y fear that the data will not adequately be protected</w:t>
      </w:r>
      <w:r w:rsidR="00E926B6">
        <w:t xml:space="preserve"> and</w:t>
      </w:r>
      <w:r w:rsidR="00E82F3A" w:rsidRPr="00585767">
        <w:t xml:space="preserve"> that access to commercially sensitive information by UPS will jeopardize </w:t>
      </w:r>
      <w:r w:rsidR="0076369A">
        <w:t xml:space="preserve">the </w:t>
      </w:r>
      <w:r w:rsidR="00E82F3A" w:rsidRPr="00585767">
        <w:t>business</w:t>
      </w:r>
      <w:r w:rsidR="006622EF">
        <w:t xml:space="preserve"> interests</w:t>
      </w:r>
      <w:r w:rsidR="008D61CD">
        <w:t xml:space="preserve"> of third parties</w:t>
      </w:r>
      <w:r w:rsidR="00E82F3A" w:rsidRPr="00585767">
        <w:t>.</w:t>
      </w:r>
      <w:r w:rsidR="004602C0">
        <w:t xml:space="preserve">  </w:t>
      </w:r>
      <w:r w:rsidR="004602C0">
        <w:rPr>
          <w:i/>
        </w:rPr>
        <w:t xml:space="preserve">See </w:t>
      </w:r>
      <w:r w:rsidR="004602C0">
        <w:t>Postal Service Response, Attachments 1-2.</w:t>
      </w:r>
    </w:p>
    <w:p w14:paraId="1DAD9B8F" w14:textId="7928DA2C" w:rsidR="00C21ED2" w:rsidRPr="00585767" w:rsidRDefault="00844ACC" w:rsidP="00ED1EF1">
      <w:r w:rsidRPr="00585767">
        <w:t xml:space="preserve">The Commission </w:t>
      </w:r>
      <w:r w:rsidR="008F1F1D" w:rsidRPr="00585767">
        <w:t>specifically rejected these arguments in the</w:t>
      </w:r>
      <w:r w:rsidRPr="00585767">
        <w:t xml:space="preserve"> </w:t>
      </w:r>
      <w:r w:rsidR="008F1F1D" w:rsidRPr="00585767">
        <w:t>FY 2019</w:t>
      </w:r>
      <w:r w:rsidRPr="00585767">
        <w:t xml:space="preserve"> </w:t>
      </w:r>
      <w:r w:rsidR="00533580" w:rsidRPr="00585767">
        <w:t>Annual Compliance Review</w:t>
      </w:r>
      <w:r w:rsidRPr="00585767">
        <w:t xml:space="preserve"> docket</w:t>
      </w:r>
      <w:r w:rsidR="00537606" w:rsidRPr="00585767">
        <w:t>,</w:t>
      </w:r>
      <w:r w:rsidRPr="00585767">
        <w:t xml:space="preserve"> noting that</w:t>
      </w:r>
      <w:r w:rsidR="00537606" w:rsidRPr="00585767">
        <w:t xml:space="preserve"> t</w:t>
      </w:r>
      <w:r w:rsidR="001650D4" w:rsidRPr="00585767">
        <w:t>he presence of confidential and commercially sensitive information is not sufficient justification by itself to deny access.</w:t>
      </w:r>
      <w:r w:rsidRPr="00585767">
        <w:rPr>
          <w:rStyle w:val="FootnoteReference"/>
        </w:rPr>
        <w:footnoteReference w:id="21"/>
      </w:r>
      <w:r w:rsidR="001650D4" w:rsidRPr="00585767">
        <w:t xml:space="preserve">  </w:t>
      </w:r>
      <w:r w:rsidR="00100055" w:rsidRPr="00585767">
        <w:t xml:space="preserve">Contrary to the </w:t>
      </w:r>
      <w:r w:rsidR="0057087A" w:rsidRPr="00585767">
        <w:t>claim that the commercial nature of the information prevents access</w:t>
      </w:r>
      <w:r w:rsidR="00100055" w:rsidRPr="00585767">
        <w:t xml:space="preserve">, </w:t>
      </w:r>
      <w:r w:rsidR="00C920AF" w:rsidRPr="00585767">
        <w:t xml:space="preserve">subpart C of </w:t>
      </w:r>
      <w:r w:rsidR="001650D4" w:rsidRPr="00585767">
        <w:t xml:space="preserve">39 C.F.R. part </w:t>
      </w:r>
      <w:r w:rsidR="001E6CB2" w:rsidRPr="00585767">
        <w:t>3011</w:t>
      </w:r>
      <w:r w:rsidR="001650D4" w:rsidRPr="00585767">
        <w:t xml:space="preserve"> </w:t>
      </w:r>
      <w:r w:rsidR="00100055" w:rsidRPr="00585767">
        <w:t xml:space="preserve">sets forth </w:t>
      </w:r>
      <w:r w:rsidR="001650D4" w:rsidRPr="00585767">
        <w:t xml:space="preserve">a process </w:t>
      </w:r>
      <w:r w:rsidR="0057087A" w:rsidRPr="00585767">
        <w:t>by which</w:t>
      </w:r>
      <w:r w:rsidR="001650D4" w:rsidRPr="00585767">
        <w:t xml:space="preserve"> interested persons </w:t>
      </w:r>
      <w:r w:rsidR="0057087A" w:rsidRPr="00585767">
        <w:t xml:space="preserve">can gain </w:t>
      </w:r>
      <w:r w:rsidR="001650D4" w:rsidRPr="00585767">
        <w:t xml:space="preserve">access </w:t>
      </w:r>
      <w:r w:rsidR="0057087A" w:rsidRPr="00585767">
        <w:lastRenderedPageBreak/>
        <w:t xml:space="preserve">to </w:t>
      </w:r>
      <w:r w:rsidR="001650D4" w:rsidRPr="00585767">
        <w:t>commercially sensitive material</w:t>
      </w:r>
      <w:r w:rsidR="00100055" w:rsidRPr="00585767">
        <w:t xml:space="preserve"> under strict protective conditions</w:t>
      </w:r>
      <w:r w:rsidR="001650D4" w:rsidRPr="00585767">
        <w:t>.</w:t>
      </w:r>
      <w:r w:rsidR="001650D4" w:rsidRPr="00585767">
        <w:rPr>
          <w:rStyle w:val="FootnoteReference"/>
        </w:rPr>
        <w:footnoteReference w:id="22"/>
      </w:r>
      <w:r w:rsidR="001650D4" w:rsidRPr="00585767">
        <w:t xml:space="preserve"> </w:t>
      </w:r>
      <w:r w:rsidR="005E0BD6" w:rsidRPr="00585767">
        <w:t xml:space="preserve"> </w:t>
      </w:r>
      <w:r w:rsidR="00D10F48">
        <w:t xml:space="preserve">To accept </w:t>
      </w:r>
      <w:r w:rsidR="006270E3">
        <w:t xml:space="preserve">the </w:t>
      </w:r>
      <w:r w:rsidR="00D10F48">
        <w:t>third</w:t>
      </w:r>
      <w:r w:rsidR="00856B35">
        <w:t xml:space="preserve"> </w:t>
      </w:r>
      <w:r w:rsidR="00D10F48">
        <w:t xml:space="preserve">parties’ </w:t>
      </w:r>
      <w:r w:rsidR="00083F8D" w:rsidRPr="00585767">
        <w:t xml:space="preserve">argument would nullify </w:t>
      </w:r>
      <w:r w:rsidR="00C25576" w:rsidRPr="00585767">
        <w:t xml:space="preserve">subpart C of </w:t>
      </w:r>
      <w:r w:rsidR="00083F8D" w:rsidRPr="00585767">
        <w:t xml:space="preserve">39 C.F.R. part </w:t>
      </w:r>
      <w:r w:rsidR="001E6CB2" w:rsidRPr="00585767">
        <w:t>3011</w:t>
      </w:r>
      <w:r w:rsidR="00083F8D" w:rsidRPr="00585767">
        <w:t xml:space="preserve"> because no interested person could ever gain access to material filed under seal with the Commission.  </w:t>
      </w:r>
      <w:r w:rsidR="005E0BD6" w:rsidRPr="00585767">
        <w:t>The</w:t>
      </w:r>
      <w:r w:rsidR="00083F8D" w:rsidRPr="00585767">
        <w:t xml:space="preserve"> rules permitting </w:t>
      </w:r>
      <w:r w:rsidR="00C25576" w:rsidRPr="00585767">
        <w:t>access</w:t>
      </w:r>
      <w:r w:rsidR="00083F8D" w:rsidRPr="00585767">
        <w:t xml:space="preserve"> </w:t>
      </w:r>
      <w:r w:rsidR="005E0BD6" w:rsidRPr="00585767">
        <w:t>take into consideration that information filed under seal with the Commission may contain sensitive commercial information and implement s</w:t>
      </w:r>
      <w:r w:rsidR="00325C8B" w:rsidRPr="00585767">
        <w:t>tringent</w:t>
      </w:r>
      <w:r w:rsidR="005E0BD6" w:rsidRPr="00585767">
        <w:t xml:space="preserve"> safeguards to prevent the harms </w:t>
      </w:r>
      <w:r w:rsidR="0057087A" w:rsidRPr="00585767">
        <w:t>alleged</w:t>
      </w:r>
      <w:r w:rsidR="005E0BD6" w:rsidRPr="00585767">
        <w:t xml:space="preserve"> by the Postal Service and the third parties.</w:t>
      </w:r>
      <w:r w:rsidR="00C21ED2" w:rsidRPr="00585767">
        <w:t xml:space="preserve">  </w:t>
      </w:r>
      <w:r w:rsidR="00043D61" w:rsidRPr="00585767">
        <w:t xml:space="preserve">Moreover, the assertion that commercial harm might occur ignores the many </w:t>
      </w:r>
      <w:r w:rsidR="0057087A" w:rsidRPr="00585767">
        <w:t>requirements and protective conditions for any party requesting ac</w:t>
      </w:r>
      <w:r w:rsidR="00074765" w:rsidRPr="00585767">
        <w:t>cess to non-public information.</w:t>
      </w:r>
      <w:r w:rsidR="002D73BB" w:rsidRPr="00585767">
        <w:t xml:space="preserve">  Finally, </w:t>
      </w:r>
      <w:r w:rsidR="00A602E6">
        <w:t>accepting</w:t>
      </w:r>
      <w:r w:rsidR="002D73BB" w:rsidRPr="00585767">
        <w:t xml:space="preserve"> the </w:t>
      </w:r>
      <w:r w:rsidR="00D10F48">
        <w:t>third</w:t>
      </w:r>
      <w:r w:rsidR="001752D4">
        <w:t xml:space="preserve"> </w:t>
      </w:r>
      <w:r w:rsidR="00D10F48">
        <w:t>parties’</w:t>
      </w:r>
      <w:r w:rsidR="002D73BB" w:rsidRPr="00585767">
        <w:t xml:space="preserve"> position </w:t>
      </w:r>
      <w:r w:rsidR="00D844FB">
        <w:t xml:space="preserve">would </w:t>
      </w:r>
      <w:r w:rsidR="002D73BB" w:rsidRPr="00585767">
        <w:t xml:space="preserve">necessarily foreclose any interested party in logistics or delivery from ever meaningfully participating in the Commission’s </w:t>
      </w:r>
      <w:r w:rsidR="00E334E2" w:rsidRPr="00585767">
        <w:t>annual compliance review</w:t>
      </w:r>
      <w:r w:rsidR="002D73BB" w:rsidRPr="00585767">
        <w:t xml:space="preserve"> process.</w:t>
      </w:r>
    </w:p>
    <w:p w14:paraId="57D1AC9B" w14:textId="7B30494C" w:rsidR="00B938F0" w:rsidRDefault="008B0CDB" w:rsidP="00B938F0">
      <w:r w:rsidRPr="00585767">
        <w:t xml:space="preserve">First, </w:t>
      </w:r>
      <w:r w:rsidR="00C25576" w:rsidRPr="00585767">
        <w:t>s</w:t>
      </w:r>
      <w:r w:rsidRPr="00585767">
        <w:t xml:space="preserve">ection </w:t>
      </w:r>
      <w:r w:rsidR="001E6CB2" w:rsidRPr="00585767">
        <w:t>3011</w:t>
      </w:r>
      <w:r w:rsidRPr="00585767">
        <w:t xml:space="preserve">.300(b) provides that </w:t>
      </w:r>
      <w:r w:rsidR="005E0BD6" w:rsidRPr="00585767">
        <w:t>“</w:t>
      </w:r>
      <w:r w:rsidR="00BF761F" w:rsidRPr="00585767">
        <w:t>[</w:t>
      </w:r>
      <w:r w:rsidR="005E0BD6" w:rsidRPr="00585767">
        <w:t>n</w:t>
      </w:r>
      <w:r w:rsidR="00BF761F" w:rsidRPr="00585767">
        <w:t>]</w:t>
      </w:r>
      <w:r w:rsidR="005E0BD6" w:rsidRPr="00585767">
        <w:t xml:space="preserve">o person involved in competitive decision-making for any individual or entity that might gain competitive advantage from using non-public materials shall be granted access to non-public materials.”  </w:t>
      </w:r>
      <w:r w:rsidR="00C920AF" w:rsidRPr="00585767">
        <w:t>39 C.F.R</w:t>
      </w:r>
      <w:r w:rsidR="006661E8" w:rsidRPr="00585767">
        <w:t>. § </w:t>
      </w:r>
      <w:r w:rsidR="001E6CB2" w:rsidRPr="00585767">
        <w:t>3011</w:t>
      </w:r>
      <w:r w:rsidR="00C920AF" w:rsidRPr="00585767">
        <w:t xml:space="preserve">.300(b).  </w:t>
      </w:r>
      <w:r w:rsidR="00083F8D" w:rsidRPr="00585767">
        <w:t xml:space="preserve">The </w:t>
      </w:r>
      <w:r w:rsidR="005E0BD6" w:rsidRPr="00585767">
        <w:t>Commission</w:t>
      </w:r>
      <w:r w:rsidR="00083F8D" w:rsidRPr="00585767">
        <w:t xml:space="preserve">’s rules </w:t>
      </w:r>
      <w:r w:rsidR="005E0BD6" w:rsidRPr="00585767">
        <w:t>define “competitive decision-making” as including activities such as “consulting on marketing or advertising strategies, pricing, product research and development, product design</w:t>
      </w:r>
      <w:r w:rsidR="00BF761F" w:rsidRPr="00585767">
        <w:t>,</w:t>
      </w:r>
      <w:r w:rsidR="005E0BD6" w:rsidRPr="00585767">
        <w:t xml:space="preserve"> or </w:t>
      </w:r>
      <w:r w:rsidR="00BF761F" w:rsidRPr="00585767">
        <w:t xml:space="preserve">the </w:t>
      </w:r>
      <w:r w:rsidR="005E0BD6" w:rsidRPr="00585767">
        <w:t xml:space="preserve">competitive structuring and composition of bids, offers or proposals.”  </w:t>
      </w:r>
      <w:r w:rsidR="005E0BD6" w:rsidRPr="00585767">
        <w:rPr>
          <w:i/>
        </w:rPr>
        <w:t>Id.</w:t>
      </w:r>
      <w:r w:rsidR="005E0BD6" w:rsidRPr="00585767">
        <w:t xml:space="preserve">  However, the </w:t>
      </w:r>
      <w:r w:rsidR="00083F8D" w:rsidRPr="00585767">
        <w:t>rules</w:t>
      </w:r>
      <w:r w:rsidR="005E0BD6" w:rsidRPr="00585767">
        <w:t xml:space="preserve"> explicitly state that competitive decision-making does not include “rendering legal advice or perfo</w:t>
      </w:r>
      <w:r w:rsidR="00042FA9" w:rsidRPr="00585767">
        <w:t>r</w:t>
      </w:r>
      <w:r w:rsidR="005E0BD6" w:rsidRPr="00585767">
        <w:t xml:space="preserve">ming other </w:t>
      </w:r>
      <w:r w:rsidR="009940FB" w:rsidRPr="00585767">
        <w:t>services</w:t>
      </w:r>
      <w:r w:rsidR="00042FA9" w:rsidRPr="00585767">
        <w:t xml:space="preserve"> that are not directly in furtherance of activities in competition with an</w:t>
      </w:r>
      <w:r w:rsidR="00844ACC" w:rsidRPr="00585767">
        <w:t xml:space="preserve"> </w:t>
      </w:r>
      <w:r w:rsidR="00042FA9" w:rsidRPr="00585767">
        <w:t>individual or entity having a proprietary interest in the protected material.”</w:t>
      </w:r>
      <w:r w:rsidR="00426C15" w:rsidRPr="00585767">
        <w:rPr>
          <w:rStyle w:val="FootnoteReference"/>
        </w:rPr>
        <w:footnoteReference w:id="23"/>
      </w:r>
      <w:r w:rsidR="00042FA9" w:rsidRPr="00585767">
        <w:t xml:space="preserve"> </w:t>
      </w:r>
      <w:r w:rsidR="00042FA9" w:rsidRPr="00585767">
        <w:rPr>
          <w:i/>
        </w:rPr>
        <w:t xml:space="preserve"> </w:t>
      </w:r>
      <w:r w:rsidRPr="00585767">
        <w:t xml:space="preserve">This strict prohibition </w:t>
      </w:r>
      <w:r w:rsidR="00AA64AB" w:rsidRPr="00585767">
        <w:t xml:space="preserve">on access </w:t>
      </w:r>
      <w:r w:rsidRPr="00585767">
        <w:t xml:space="preserve">mitigates concerns of commercial harm, as any person </w:t>
      </w:r>
      <w:r w:rsidR="0057087A" w:rsidRPr="00585767">
        <w:t>involved in</w:t>
      </w:r>
      <w:r w:rsidR="00B938F0">
        <w:br w:type="page"/>
      </w:r>
    </w:p>
    <w:p w14:paraId="255A94F2" w14:textId="21D7A8BA" w:rsidR="001650D4" w:rsidRPr="00585767" w:rsidRDefault="0057087A" w:rsidP="00B938F0">
      <w:pPr>
        <w:ind w:firstLine="0"/>
      </w:pPr>
      <w:r w:rsidRPr="00585767">
        <w:lastRenderedPageBreak/>
        <w:t>competitive decision-making</w:t>
      </w:r>
      <w:r w:rsidR="008B0CDB" w:rsidRPr="00585767">
        <w:t xml:space="preserve"> </w:t>
      </w:r>
      <w:r w:rsidR="00C920AF" w:rsidRPr="00585767">
        <w:t>is</w:t>
      </w:r>
      <w:r w:rsidR="008B0CDB" w:rsidRPr="00585767">
        <w:t xml:space="preserve"> not permitted access to non-public materials.</w:t>
      </w:r>
      <w:r w:rsidR="008B0CDB" w:rsidRPr="00585767">
        <w:rPr>
          <w:rStyle w:val="FootnoteReference"/>
        </w:rPr>
        <w:footnoteReference w:id="24"/>
      </w:r>
      <w:r w:rsidR="008B0CDB" w:rsidRPr="00585767">
        <w:t xml:space="preserve">  </w:t>
      </w:r>
      <w:r w:rsidR="000B5A7C" w:rsidRPr="00585767">
        <w:t>The arguments proffered by the third parties, conversely, appear predicated on the unsubstantiated implicit assumption that the non-public materials would be utilized by UPS’s competitive decision-making persons, despite the protective conditions in place.</w:t>
      </w:r>
      <w:r w:rsidR="003604D1">
        <w:t xml:space="preserve">  </w:t>
      </w:r>
      <w:r w:rsidR="003604D1">
        <w:rPr>
          <w:i/>
        </w:rPr>
        <w:t xml:space="preserve">See </w:t>
      </w:r>
      <w:r w:rsidR="003604D1">
        <w:t>Postal Service Response, Attachments 1-2.</w:t>
      </w:r>
    </w:p>
    <w:p w14:paraId="221274D9" w14:textId="51561C0E" w:rsidR="00042FA9" w:rsidRPr="00585767" w:rsidRDefault="00042FA9" w:rsidP="00B938F0">
      <w:r w:rsidRPr="00585767">
        <w:t xml:space="preserve">Second, the Commission’s rules </w:t>
      </w:r>
      <w:r w:rsidR="008B0CDB" w:rsidRPr="00585767">
        <w:t>place restrictions on the use and misuse of any non-public information</w:t>
      </w:r>
      <w:r w:rsidR="00426C15" w:rsidRPr="00585767">
        <w:t xml:space="preserve"> and pr</w:t>
      </w:r>
      <w:r w:rsidR="009C6080" w:rsidRPr="00585767">
        <w:t>ohibit</w:t>
      </w:r>
      <w:r w:rsidR="00426C15" w:rsidRPr="00585767">
        <w:t xml:space="preserve"> unauthorized or public disclosure</w:t>
      </w:r>
      <w:r w:rsidR="008B0CDB" w:rsidRPr="00585767">
        <w:t>.</w:t>
      </w:r>
      <w:r w:rsidR="00083F8D" w:rsidRPr="00585767">
        <w:t xml:space="preserve">  </w:t>
      </w:r>
      <w:r w:rsidRPr="00585767">
        <w:t>For example, persons with access are prohibited from “</w:t>
      </w:r>
      <w:proofErr w:type="spellStart"/>
      <w:r w:rsidRPr="00585767">
        <w:t>disseminat</w:t>
      </w:r>
      <w:proofErr w:type="spellEnd"/>
      <w:r w:rsidRPr="00585767">
        <w:t>[</w:t>
      </w:r>
      <w:proofErr w:type="spellStart"/>
      <w:r w:rsidRPr="00585767">
        <w:t>ing</w:t>
      </w:r>
      <w:proofErr w:type="spellEnd"/>
      <w:r w:rsidRPr="00585767">
        <w:t xml:space="preserve">] the materials or </w:t>
      </w:r>
      <w:r w:rsidR="00DB7E58" w:rsidRPr="00585767">
        <w:t xml:space="preserve">the </w:t>
      </w:r>
      <w:r w:rsidRPr="00585767">
        <w:t>information contained therein, in whole or in part, to any person not allowed access</w:t>
      </w:r>
      <w:r w:rsidR="00A26E5E">
        <w:t> </w:t>
      </w:r>
      <w:r w:rsidR="0038634B">
        <w:t>….</w:t>
      </w:r>
      <w:r w:rsidRPr="00585767">
        <w:t xml:space="preserve">”  </w:t>
      </w:r>
      <w:r w:rsidR="00074765" w:rsidRPr="00585767">
        <w:t>39 C.F.R. § </w:t>
      </w:r>
      <w:r w:rsidR="001E6CB2" w:rsidRPr="00585767">
        <w:t>3011</w:t>
      </w:r>
      <w:r w:rsidR="00C920AF" w:rsidRPr="00585767">
        <w:t xml:space="preserve">.302(a).  </w:t>
      </w:r>
      <w:r w:rsidRPr="00585767">
        <w:t xml:space="preserve">Additionally, the non-public materials may only be used “for </w:t>
      </w:r>
      <w:r w:rsidR="004623CC" w:rsidRPr="00585767">
        <w:t xml:space="preserve">the </w:t>
      </w:r>
      <w:r w:rsidRPr="00585767">
        <w:t xml:space="preserve">purposes for which the non-public materials [were] supplied.”  </w:t>
      </w:r>
      <w:r w:rsidR="00C920AF" w:rsidRPr="00585767">
        <w:rPr>
          <w:i/>
        </w:rPr>
        <w:t>Id.</w:t>
      </w:r>
      <w:r w:rsidR="00C920AF" w:rsidRPr="00585767">
        <w:t xml:space="preserve"> </w:t>
      </w:r>
      <w:r w:rsidR="00A87625" w:rsidRPr="00585767">
        <w:t>§</w:t>
      </w:r>
      <w:r w:rsidR="00F32D22">
        <w:t> </w:t>
      </w:r>
      <w:r w:rsidR="002932A0" w:rsidRPr="00585767">
        <w:t>3011</w:t>
      </w:r>
      <w:r w:rsidR="00C920AF" w:rsidRPr="00585767">
        <w:t xml:space="preserve">.302(b).  </w:t>
      </w:r>
      <w:r w:rsidRPr="00585767">
        <w:t xml:space="preserve">Here, UPS may use the non-public materials </w:t>
      </w:r>
      <w:r w:rsidR="004909C7" w:rsidRPr="00585767">
        <w:t xml:space="preserve">only </w:t>
      </w:r>
      <w:r w:rsidRPr="00585767">
        <w:t>to inform</w:t>
      </w:r>
      <w:r w:rsidR="00844ACC" w:rsidRPr="00585767">
        <w:t xml:space="preserve"> its</w:t>
      </w:r>
      <w:r w:rsidRPr="00585767">
        <w:t xml:space="preserve"> comments submitted in th</w:t>
      </w:r>
      <w:r w:rsidR="00C25576" w:rsidRPr="00585767">
        <w:t>is</w:t>
      </w:r>
      <w:r w:rsidRPr="00585767">
        <w:t xml:space="preserve"> </w:t>
      </w:r>
      <w:r w:rsidR="00BA4C41" w:rsidRPr="00585767">
        <w:t>Annual Compliance Review</w:t>
      </w:r>
      <w:r w:rsidR="008B0CDB" w:rsidRPr="00585767">
        <w:t xml:space="preserve"> docket</w:t>
      </w:r>
      <w:r w:rsidRPr="00585767">
        <w:t>.</w:t>
      </w:r>
      <w:r w:rsidR="00083F8D" w:rsidRPr="00585767">
        <w:t xml:space="preserve"> </w:t>
      </w:r>
      <w:r w:rsidRPr="00585767">
        <w:t xml:space="preserve"> </w:t>
      </w:r>
      <w:r w:rsidR="00083F8D" w:rsidRPr="00585767">
        <w:t>In addition,</w:t>
      </w:r>
      <w:r w:rsidRPr="00585767">
        <w:t xml:space="preserve"> the Commission’s rules require individuals with access to take reasonable care in protecting the non-public material from any person not granted access.</w:t>
      </w:r>
      <w:r w:rsidR="00C920AF" w:rsidRPr="00585767">
        <w:t xml:space="preserve">  </w:t>
      </w:r>
      <w:r w:rsidR="00C920AF" w:rsidRPr="00585767">
        <w:rPr>
          <w:i/>
        </w:rPr>
        <w:t>Id.</w:t>
      </w:r>
      <w:r w:rsidR="00C920AF" w:rsidRPr="00585767">
        <w:t xml:space="preserve"> </w:t>
      </w:r>
      <w:r w:rsidR="00D70E8B" w:rsidRPr="00585767">
        <w:t xml:space="preserve">§ </w:t>
      </w:r>
      <w:r w:rsidR="002932A0" w:rsidRPr="00585767">
        <w:t>3011</w:t>
      </w:r>
      <w:r w:rsidR="00C920AF" w:rsidRPr="00585767">
        <w:t>.302(c).</w:t>
      </w:r>
      <w:r w:rsidRPr="00585767">
        <w:t xml:space="preserve">  Reasonable care is defined to be</w:t>
      </w:r>
      <w:r w:rsidR="00F807F1">
        <w:t xml:space="preserve"> the “same degree of care</w:t>
      </w:r>
      <w:r w:rsidR="00A26E5E">
        <w:t xml:space="preserve"> </w:t>
      </w:r>
      <w:r w:rsidR="00F807F1">
        <w:t>…</w:t>
      </w:r>
      <w:r w:rsidR="00A26E5E">
        <w:t xml:space="preserve"> </w:t>
      </w:r>
      <w:r w:rsidR="00B20BD2" w:rsidRPr="00585767">
        <w:t xml:space="preserve">to prevent the unauthorized disclosure of these materials as those persons, in the ordinary course of business, would be expected to use to protect their own proprietary material or trade secrets and other internal, confidential, commercially sensitive, and privileged information.”  </w:t>
      </w:r>
      <w:r w:rsidR="00B20BD2" w:rsidRPr="00585767">
        <w:rPr>
          <w:i/>
        </w:rPr>
        <w:t>Id.</w:t>
      </w:r>
      <w:r w:rsidR="00B20BD2" w:rsidRPr="00585767">
        <w:t xml:space="preserve"> </w:t>
      </w:r>
      <w:r w:rsidR="008B0CDB" w:rsidRPr="00585767">
        <w:t xml:space="preserve"> These restrictions protect against concerns </w:t>
      </w:r>
      <w:r w:rsidR="00C25576" w:rsidRPr="00585767">
        <w:t xml:space="preserve">expressed </w:t>
      </w:r>
      <w:r w:rsidR="008B0CDB" w:rsidRPr="00585767">
        <w:t xml:space="preserve">by third parties </w:t>
      </w:r>
      <w:r w:rsidR="00BE1823">
        <w:t>regarding</w:t>
      </w:r>
      <w:r w:rsidR="00BE1823" w:rsidRPr="00585767">
        <w:t xml:space="preserve"> </w:t>
      </w:r>
      <w:r w:rsidR="008B0CDB" w:rsidRPr="00585767">
        <w:t xml:space="preserve">any potential </w:t>
      </w:r>
      <w:r w:rsidR="00260F64" w:rsidRPr="00585767">
        <w:t>improper disclosure</w:t>
      </w:r>
      <w:r w:rsidR="008B0CDB" w:rsidRPr="00585767">
        <w:t xml:space="preserve"> of the information.</w:t>
      </w:r>
      <w:r w:rsidR="00BE1823">
        <w:t xml:space="preserve">  </w:t>
      </w:r>
      <w:r w:rsidR="00BE1823">
        <w:rPr>
          <w:i/>
        </w:rPr>
        <w:t xml:space="preserve">See </w:t>
      </w:r>
      <w:r w:rsidR="00BE1823">
        <w:t>Postal Service Response, Attachments 1-2.</w:t>
      </w:r>
      <w:r w:rsidR="00B938F0">
        <w:br w:type="page"/>
      </w:r>
    </w:p>
    <w:p w14:paraId="60423961" w14:textId="6FDDA365" w:rsidR="00AE166B" w:rsidRPr="00585767" w:rsidRDefault="00AE166B" w:rsidP="00ED1EF1">
      <w:r w:rsidRPr="00585767">
        <w:lastRenderedPageBreak/>
        <w:t>Third, the Commission’s rules provide that the Commission may sanction any person that violates the protective conditions under which he or she gained access.</w:t>
      </w:r>
      <w:r w:rsidR="009C6080" w:rsidRPr="00585767">
        <w:t xml:space="preserve">  </w:t>
      </w:r>
      <w:r w:rsidR="009C6080" w:rsidRPr="00585767">
        <w:rPr>
          <w:i/>
        </w:rPr>
        <w:t>Id.</w:t>
      </w:r>
      <w:r w:rsidR="007A33A7" w:rsidRPr="00585767">
        <w:t> </w:t>
      </w:r>
      <w:r w:rsidR="003F7DD1" w:rsidRPr="00585767">
        <w:t xml:space="preserve">§ </w:t>
      </w:r>
      <w:r w:rsidR="002932A0" w:rsidRPr="00585767">
        <w:t>3011</w:t>
      </w:r>
      <w:r w:rsidR="009C6080" w:rsidRPr="00585767">
        <w:t>.303(a).</w:t>
      </w:r>
      <w:r w:rsidRPr="00585767">
        <w:t xml:space="preserve">  Sanctions include dismissing </w:t>
      </w:r>
      <w:r w:rsidR="00492B40">
        <w:t>a pertinent</w:t>
      </w:r>
      <w:r w:rsidR="00492B40" w:rsidRPr="00585767">
        <w:t xml:space="preserve"> </w:t>
      </w:r>
      <w:r w:rsidRPr="00585767">
        <w:t>proceeding, ruling by default against the person who violated the order, revoking access or restricting access in the future, and other sanctions as deemed appropriate.</w:t>
      </w:r>
      <w:r w:rsidRPr="00585767">
        <w:rPr>
          <w:i/>
        </w:rPr>
        <w:t xml:space="preserve">  Id.</w:t>
      </w:r>
      <w:r w:rsidRPr="00585767">
        <w:t xml:space="preserve">  The Commission’s rules also do not prevent the Postal </w:t>
      </w:r>
      <w:proofErr w:type="gramStart"/>
      <w:r w:rsidRPr="00585767">
        <w:t>Service</w:t>
      </w:r>
      <w:proofErr w:type="gramEnd"/>
      <w:r w:rsidRPr="00585767">
        <w:t xml:space="preserve"> or third parties harmed by </w:t>
      </w:r>
      <w:r w:rsidR="008B0CDB" w:rsidRPr="00585767">
        <w:t xml:space="preserve">any </w:t>
      </w:r>
      <w:r w:rsidRPr="00585767">
        <w:t>“violation of an order granting access subject to protective conditions</w:t>
      </w:r>
      <w:r w:rsidR="00083E9C">
        <w:t>[</w:t>
      </w:r>
      <w:r w:rsidR="004866A5">
        <w:t>]</w:t>
      </w:r>
      <w:r w:rsidRPr="00585767">
        <w:t xml:space="preserve"> from pursuing any remedies available under the law against the person who violated the order, the persons or entities on whose behalf the person was acting, or both.”</w:t>
      </w:r>
      <w:r w:rsidR="009C6080" w:rsidRPr="00585767">
        <w:t xml:space="preserve">  </w:t>
      </w:r>
      <w:r w:rsidR="009C6080" w:rsidRPr="00585767">
        <w:rPr>
          <w:i/>
        </w:rPr>
        <w:t>Id.</w:t>
      </w:r>
      <w:r w:rsidR="009C6080" w:rsidRPr="00585767">
        <w:t xml:space="preserve"> </w:t>
      </w:r>
      <w:r w:rsidR="00F56EE7" w:rsidRPr="00585767">
        <w:t xml:space="preserve">§ </w:t>
      </w:r>
      <w:r w:rsidR="002932A0" w:rsidRPr="00585767">
        <w:t>3011</w:t>
      </w:r>
      <w:r w:rsidR="009C6080" w:rsidRPr="00585767">
        <w:t>.303(b).</w:t>
      </w:r>
      <w:r w:rsidR="008B0CDB" w:rsidRPr="00585767">
        <w:t xml:space="preserve">  </w:t>
      </w:r>
      <w:r w:rsidR="00F307DD" w:rsidRPr="00585767">
        <w:t xml:space="preserve">These strict sanctions, </w:t>
      </w:r>
      <w:r w:rsidR="00260F64" w:rsidRPr="00585767">
        <w:t xml:space="preserve">whether delivered by </w:t>
      </w:r>
      <w:r w:rsidR="00F307DD" w:rsidRPr="00585767">
        <w:t>the Commission or a court of law, provide adequate remedies in the event of any violation for both the Postal Service and any affected third party.</w:t>
      </w:r>
      <w:r w:rsidR="00260F64" w:rsidRPr="00585767">
        <w:rPr>
          <w:rStyle w:val="FootnoteReference"/>
        </w:rPr>
        <w:footnoteReference w:id="25"/>
      </w:r>
    </w:p>
    <w:p w14:paraId="67A01753" w14:textId="188C7EB0" w:rsidR="00614899" w:rsidRPr="00585767" w:rsidRDefault="00AE166B" w:rsidP="00ED1EF1">
      <w:r w:rsidRPr="00585767">
        <w:t>F</w:t>
      </w:r>
      <w:r w:rsidR="00083F8D" w:rsidRPr="00585767">
        <w:t>inally</w:t>
      </w:r>
      <w:r w:rsidR="00B20BD2" w:rsidRPr="00585767">
        <w:t>, the Commission’s rules require interested participants seeking access to material filed under seal to</w:t>
      </w:r>
      <w:r w:rsidR="004F1A17" w:rsidRPr="00585767">
        <w:t xml:space="preserve"> comply with strict</w:t>
      </w:r>
      <w:r w:rsidR="00B20BD2" w:rsidRPr="00585767">
        <w:t xml:space="preserve"> protective conditions.</w:t>
      </w:r>
      <w:r w:rsidR="00187FBA" w:rsidRPr="00585767">
        <w:t xml:space="preserve">  39 C.F.R. § </w:t>
      </w:r>
      <w:r w:rsidR="002932A0" w:rsidRPr="00585767">
        <w:t>3011</w:t>
      </w:r>
      <w:r w:rsidR="009C6080" w:rsidRPr="00585767">
        <w:t>.301(b)(5)</w:t>
      </w:r>
      <w:r w:rsidR="00392B9D" w:rsidRPr="00585767">
        <w:t>.</w:t>
      </w:r>
      <w:r w:rsidR="00B20BD2" w:rsidRPr="00585767">
        <w:t xml:space="preserve">  </w:t>
      </w:r>
      <w:r w:rsidR="00614899" w:rsidRPr="00585767">
        <w:t xml:space="preserve">The statement of protective conditions </w:t>
      </w:r>
      <w:r w:rsidR="00BB60A5" w:rsidRPr="00585767">
        <w:t>provided by UPS</w:t>
      </w:r>
      <w:r w:rsidR="00083F8D" w:rsidRPr="00585767">
        <w:t xml:space="preserve"> </w:t>
      </w:r>
      <w:r w:rsidR="00614899" w:rsidRPr="00585767">
        <w:t xml:space="preserve">sufficiently </w:t>
      </w:r>
      <w:r w:rsidR="00C74968" w:rsidRPr="00585767">
        <w:t>negates concerns regarding improper use of commercially sensitive material.</w:t>
      </w:r>
      <w:r w:rsidR="00C74968" w:rsidRPr="00585767">
        <w:rPr>
          <w:rStyle w:val="FootnoteReference"/>
        </w:rPr>
        <w:footnoteReference w:id="26"/>
      </w:r>
    </w:p>
    <w:p w14:paraId="03ABCA3C" w14:textId="32FF1A8E" w:rsidR="002449D4" w:rsidRPr="00585767" w:rsidRDefault="00614899" w:rsidP="00ED1EF1">
      <w:pPr>
        <w:rPr>
          <w:i/>
        </w:rPr>
      </w:pPr>
      <w:r w:rsidRPr="00585767">
        <w:t>Therefore, the third</w:t>
      </w:r>
      <w:r w:rsidR="00593F98">
        <w:t xml:space="preserve"> </w:t>
      </w:r>
      <w:r w:rsidRPr="00585767">
        <w:t>part</w:t>
      </w:r>
      <w:r w:rsidR="00593F98">
        <w:t>ies’</w:t>
      </w:r>
      <w:r w:rsidRPr="00585767">
        <w:t xml:space="preserve"> concern</w:t>
      </w:r>
      <w:r w:rsidR="004F1A17" w:rsidRPr="00585767">
        <w:t>s</w:t>
      </w:r>
      <w:r w:rsidR="00CB2E1F" w:rsidRPr="00585767">
        <w:t xml:space="preserve"> about the commercially </w:t>
      </w:r>
      <w:r w:rsidRPr="00585767">
        <w:t xml:space="preserve">sensitive nature of the information </w:t>
      </w:r>
      <w:r w:rsidR="004F1A17" w:rsidRPr="00585767">
        <w:t>and any potential improper disclosure are</w:t>
      </w:r>
      <w:r w:rsidRPr="00585767">
        <w:t xml:space="preserve"> mitigated by the numerous protective conditions and </w:t>
      </w:r>
      <w:r w:rsidR="004F1A17" w:rsidRPr="00585767">
        <w:t xml:space="preserve">prohibitions on improper disclosure of </w:t>
      </w:r>
      <w:r w:rsidRPr="00585767">
        <w:t xml:space="preserve">non-public information.  </w:t>
      </w:r>
      <w:r w:rsidR="004F1A17" w:rsidRPr="00585767">
        <w:t xml:space="preserve">Neither the Postal Service nor the third parties allege any history of improper disclosure by any individual </w:t>
      </w:r>
      <w:r w:rsidR="00A0084B" w:rsidRPr="00585767">
        <w:t xml:space="preserve">seeking </w:t>
      </w:r>
      <w:r w:rsidR="004F1A17" w:rsidRPr="00585767">
        <w:t xml:space="preserve">access </w:t>
      </w:r>
      <w:r w:rsidR="00A0084B" w:rsidRPr="00585767">
        <w:t xml:space="preserve">under protective conditions </w:t>
      </w:r>
      <w:r w:rsidR="004F1A17" w:rsidRPr="00585767">
        <w:t xml:space="preserve">that </w:t>
      </w:r>
      <w:r w:rsidR="00A0084B" w:rsidRPr="00585767">
        <w:t xml:space="preserve">would provide grounds for denying access.  To the contrary, </w:t>
      </w:r>
      <w:r w:rsidR="00844ACC" w:rsidRPr="00585767">
        <w:t>UPS has</w:t>
      </w:r>
      <w:r w:rsidR="00A0084B" w:rsidRPr="00585767">
        <w:t xml:space="preserve"> an extensive history of participating i</w:t>
      </w:r>
      <w:r w:rsidR="00844ACC" w:rsidRPr="00585767">
        <w:t>n Commission proceedings and</w:t>
      </w:r>
      <w:r w:rsidR="00A0084B" w:rsidRPr="00585767">
        <w:t xml:space="preserve"> has routinely been granted access to non-public library reference</w:t>
      </w:r>
      <w:r w:rsidR="000447CC" w:rsidRPr="00585767">
        <w:t>s</w:t>
      </w:r>
      <w:r w:rsidR="00A0084B" w:rsidRPr="00585767">
        <w:t xml:space="preserve"> without issue.</w:t>
      </w:r>
      <w:r w:rsidR="000B5A7C" w:rsidRPr="00585767">
        <w:t xml:space="preserve">  In addition, while not explicitly challenging any </w:t>
      </w:r>
      <w:r w:rsidR="000B5A7C" w:rsidRPr="00585767">
        <w:lastRenderedPageBreak/>
        <w:t>inadequacy of the protective conditions proffered by UPS, neither the Postal Service nor the third parties have suggested any additional protective condition that wou</w:t>
      </w:r>
      <w:r w:rsidR="00EB00E0" w:rsidRPr="00585767">
        <w:t>ld make access more palatable.</w:t>
      </w:r>
    </w:p>
    <w:p w14:paraId="707A15AB" w14:textId="4FA5BDFB" w:rsidR="00810ACF" w:rsidRPr="00585767" w:rsidRDefault="00810ACF" w:rsidP="00ED1EF1">
      <w:r w:rsidRPr="00585767">
        <w:t>As mentioned above</w:t>
      </w:r>
      <w:r w:rsidR="009C6080" w:rsidRPr="00585767">
        <w:t>,</w:t>
      </w:r>
      <w:r w:rsidRPr="00585767">
        <w:t xml:space="preserve"> </w:t>
      </w:r>
      <w:r w:rsidR="006D4FFC">
        <w:t>F</w:t>
      </w:r>
      <w:r w:rsidRPr="00585767">
        <w:t xml:space="preserve">ederal </w:t>
      </w:r>
      <w:r w:rsidR="009C6080" w:rsidRPr="00585767">
        <w:t xml:space="preserve">civil </w:t>
      </w:r>
      <w:r w:rsidRPr="00585767">
        <w:t>courts consider several factors when balancing the interests to determine whether to grant a request for a protective order under Fed</w:t>
      </w:r>
      <w:r w:rsidR="00577338" w:rsidRPr="00585767">
        <w:t>.</w:t>
      </w:r>
      <w:r w:rsidRPr="00585767">
        <w:t xml:space="preserve"> R</w:t>
      </w:r>
      <w:r w:rsidR="00577338" w:rsidRPr="00585767">
        <w:t>.</w:t>
      </w:r>
      <w:r w:rsidRPr="00585767">
        <w:t xml:space="preserve"> Civ</w:t>
      </w:r>
      <w:r w:rsidR="00577338" w:rsidRPr="00585767">
        <w:t>.</w:t>
      </w:r>
      <w:r w:rsidRPr="00585767">
        <w:t xml:space="preserve"> P</w:t>
      </w:r>
      <w:r w:rsidR="00577338" w:rsidRPr="00585767">
        <w:t>.</w:t>
      </w:r>
      <w:r w:rsidRPr="00585767">
        <w:t xml:space="preserve"> 26(c).  Such factors include whether the party benefitting from the protective order is a public entity or official and whether the case involves issues important to the public.</w:t>
      </w:r>
      <w:r w:rsidRPr="00585767">
        <w:rPr>
          <w:rStyle w:val="FootnoteReference"/>
        </w:rPr>
        <w:footnoteReference w:id="27"/>
      </w:r>
      <w:r w:rsidRPr="00585767">
        <w:t xml:space="preserve">  </w:t>
      </w:r>
      <w:r w:rsidR="00F24FE8" w:rsidRPr="00585767">
        <w:t xml:space="preserve">Here, </w:t>
      </w:r>
      <w:proofErr w:type="gramStart"/>
      <w:r w:rsidR="00F24FE8" w:rsidRPr="00585767">
        <w:t>both of these</w:t>
      </w:r>
      <w:proofErr w:type="gramEnd"/>
      <w:r w:rsidR="00F24FE8" w:rsidRPr="00585767">
        <w:t xml:space="preserve"> factors weigh in favor of granting access under the agre</w:t>
      </w:r>
      <w:r w:rsidR="00EB00E0" w:rsidRPr="00585767">
        <w:t>ed upon protective conditions.</w:t>
      </w:r>
    </w:p>
    <w:p w14:paraId="5658373C" w14:textId="22A5D11D" w:rsidR="00E77D07" w:rsidRPr="00585767" w:rsidRDefault="00251990" w:rsidP="00ED1EF1">
      <w:r>
        <w:t>I</w:t>
      </w:r>
      <w:r w:rsidR="000327E4" w:rsidRPr="00585767">
        <w:t>n overseeing the Postal Service’s compliance with the Postal Accountability and Enhancement Act (PAEA)</w:t>
      </w:r>
      <w:r>
        <w:t>,</w:t>
      </w:r>
      <w:r w:rsidR="00F807F1">
        <w:rPr>
          <w:rStyle w:val="FootnoteReference"/>
        </w:rPr>
        <w:footnoteReference w:id="28"/>
      </w:r>
      <w:r>
        <w:t xml:space="preserve"> the Commission has routinely recognized the public’s</w:t>
      </w:r>
      <w:r w:rsidR="00880CF9">
        <w:t xml:space="preserve"> </w:t>
      </w:r>
      <w:r>
        <w:t>interest and</w:t>
      </w:r>
      <w:r w:rsidR="000327E4" w:rsidRPr="00585767">
        <w:t xml:space="preserve"> right to participate in Commission proceedings.  The Commission finds that denying access to non-public materials would significantly restrict the ability of interested persons to comment on the Postal Service’s compliance under the PAEA.  As a portion of the Postal Service’s compliance under the law relates </w:t>
      </w:r>
      <w:r w:rsidR="00E77D07" w:rsidRPr="00585767">
        <w:t>to products that contain third</w:t>
      </w:r>
      <w:r w:rsidR="00570DBB" w:rsidRPr="00585767">
        <w:t>-</w:t>
      </w:r>
      <w:r w:rsidR="00E77D07" w:rsidRPr="00585767">
        <w:t xml:space="preserve">party data, prohibiting access to </w:t>
      </w:r>
      <w:r w:rsidR="00570DBB" w:rsidRPr="00585767">
        <w:t>these</w:t>
      </w:r>
      <w:r w:rsidR="00E77D07" w:rsidRPr="00585767">
        <w:t xml:space="preserve"> data </w:t>
      </w:r>
      <w:proofErr w:type="gramStart"/>
      <w:r w:rsidR="00E77D07" w:rsidRPr="00585767">
        <w:t>on the basis of</w:t>
      </w:r>
      <w:proofErr w:type="gramEnd"/>
      <w:r w:rsidR="00E77D07" w:rsidRPr="00585767">
        <w:t xml:space="preserve"> </w:t>
      </w:r>
      <w:r w:rsidR="007418D2" w:rsidRPr="00585767">
        <w:t>their</w:t>
      </w:r>
      <w:r w:rsidR="00E77D07" w:rsidRPr="00585767">
        <w:t xml:space="preserve"> commercial sensitivity would negatively impact the public’s “interest in maintaining the financial transparency of a government establishment competing in commercial markets</w:t>
      </w:r>
      <w:r w:rsidR="000327E4" w:rsidRPr="00585767">
        <w:t>.</w:t>
      </w:r>
      <w:r w:rsidR="00E77D07" w:rsidRPr="00585767">
        <w:t>”</w:t>
      </w:r>
      <w:r w:rsidR="00CA5988" w:rsidRPr="00585767">
        <w:t xml:space="preserve">  </w:t>
      </w:r>
      <w:r w:rsidR="009C6080" w:rsidRPr="00585767">
        <w:t>39 U.S.C. § 504(g</w:t>
      </w:r>
      <w:r w:rsidR="00BC629D" w:rsidRPr="00585767">
        <w:t>)(3)(A).</w:t>
      </w:r>
    </w:p>
    <w:p w14:paraId="5CFB092D" w14:textId="2D36CF6C" w:rsidR="00F56832" w:rsidRDefault="00844ACC" w:rsidP="005270A4">
      <w:r w:rsidRPr="00585767">
        <w:t>Here, where</w:t>
      </w:r>
      <w:r w:rsidR="00E77D07" w:rsidRPr="00585767">
        <w:t xml:space="preserve"> UPS </w:t>
      </w:r>
      <w:r w:rsidRPr="00585767">
        <w:t xml:space="preserve">has </w:t>
      </w:r>
      <w:r w:rsidR="00E77D07" w:rsidRPr="00585767">
        <w:t>requested access to non-public library references containing commercially sensitive data under the strict protective conditions and restrictions set forth by the Commission’s rules, the Commission finds that its rules provide adequate protective conditions to prevent any commercial harm or unauthorized disclosure</w:t>
      </w:r>
      <w:r w:rsidR="00B512E9" w:rsidRPr="00585767">
        <w:t>.</w:t>
      </w:r>
      <w:r w:rsidR="000B5A7C" w:rsidRPr="00585767">
        <w:t xml:space="preserve">  Should any party violate protective conditions</w:t>
      </w:r>
      <w:r w:rsidR="0009214A" w:rsidRPr="00585767">
        <w:t xml:space="preserve"> put in place to access non-public material</w:t>
      </w:r>
      <w:r w:rsidR="000B5A7C" w:rsidRPr="00585767">
        <w:t xml:space="preserve">, the Commission </w:t>
      </w:r>
      <w:r w:rsidR="0009214A" w:rsidRPr="00585767">
        <w:t xml:space="preserve">notes the range of remedies available to the Postal </w:t>
      </w:r>
      <w:r w:rsidR="0009214A" w:rsidRPr="00585767">
        <w:lastRenderedPageBreak/>
        <w:t>Service and third parties, both before the Commission and externally.</w:t>
      </w:r>
      <w:r w:rsidR="000B5A7C" w:rsidRPr="00585767">
        <w:t xml:space="preserve"> </w:t>
      </w:r>
      <w:r w:rsidR="00B512E9" w:rsidRPr="00585767">
        <w:t xml:space="preserve"> H</w:t>
      </w:r>
      <w:r w:rsidR="001E5BF8" w:rsidRPr="00585767">
        <w:t xml:space="preserve">aving balanced </w:t>
      </w:r>
      <w:r w:rsidR="00E77D07" w:rsidRPr="00585767">
        <w:t xml:space="preserve">the public interest in the financial transparency of the Postal Service </w:t>
      </w:r>
      <w:r w:rsidR="001E5BF8" w:rsidRPr="00585767">
        <w:t xml:space="preserve">against the </w:t>
      </w:r>
      <w:r w:rsidR="005F4895">
        <w:t>third parties</w:t>
      </w:r>
      <w:r w:rsidR="001E5BF8" w:rsidRPr="00585767">
        <w:t xml:space="preserve">’ claims of commercial harm, the Commission </w:t>
      </w:r>
      <w:r w:rsidR="0043765C" w:rsidRPr="00585767">
        <w:t>grant</w:t>
      </w:r>
      <w:r w:rsidR="00F855B2">
        <w:t>s</w:t>
      </w:r>
      <w:r w:rsidR="0043765C" w:rsidRPr="00585767">
        <w:t xml:space="preserve"> access</w:t>
      </w:r>
      <w:r w:rsidR="00E77D07" w:rsidRPr="00585767">
        <w:t>.</w:t>
      </w:r>
    </w:p>
    <w:p w14:paraId="7BE01232" w14:textId="77777777" w:rsidR="00FB3E0C" w:rsidRPr="00585767" w:rsidRDefault="00FB3E0C" w:rsidP="00FB3E0C">
      <w:pPr>
        <w:pStyle w:val="Heading1"/>
      </w:pPr>
      <w:r w:rsidRPr="00585767">
        <w:t>Conclusion</w:t>
      </w:r>
    </w:p>
    <w:p w14:paraId="2E14B62D" w14:textId="36CC4D03" w:rsidR="00DF251D" w:rsidRDefault="001F6F5D" w:rsidP="008711A2">
      <w:r w:rsidRPr="00585767">
        <w:rPr>
          <w:rFonts w:cs="Arial"/>
        </w:rPr>
        <w:t xml:space="preserve">For the above reasons, the Commission grants </w:t>
      </w:r>
      <w:r w:rsidR="00D523ED">
        <w:rPr>
          <w:rFonts w:cs="Arial"/>
        </w:rPr>
        <w:t xml:space="preserve">the </w:t>
      </w:r>
      <w:r w:rsidR="00A57EED" w:rsidRPr="00585767">
        <w:rPr>
          <w:rFonts w:cs="Arial"/>
        </w:rPr>
        <w:t>Motion</w:t>
      </w:r>
      <w:r w:rsidRPr="00585767">
        <w:rPr>
          <w:rFonts w:cs="Arial"/>
        </w:rPr>
        <w:t xml:space="preserve"> for access to </w:t>
      </w:r>
      <w:r w:rsidR="00D523ED">
        <w:rPr>
          <w:rFonts w:cs="Arial"/>
        </w:rPr>
        <w:t xml:space="preserve">non-public </w:t>
      </w:r>
      <w:r w:rsidRPr="00585767">
        <w:rPr>
          <w:rFonts w:cs="Arial"/>
        </w:rPr>
        <w:t xml:space="preserve">Library References </w:t>
      </w:r>
      <w:r w:rsidR="0020699B">
        <w:t>USPS-FY2</w:t>
      </w:r>
      <w:r w:rsidR="00831B3C">
        <w:t>2</w:t>
      </w:r>
      <w:r w:rsidR="0020699B" w:rsidRPr="00585767">
        <w:t>-NP2, -NP3, -NP7, -</w:t>
      </w:r>
      <w:r w:rsidR="0020699B">
        <w:t xml:space="preserve">NP8, NP9, -NP14, -NP22, -NP23, </w:t>
      </w:r>
      <w:r w:rsidR="0020699B" w:rsidRPr="00585767">
        <w:t>-NP24</w:t>
      </w:r>
      <w:r w:rsidR="0020699B">
        <w:t xml:space="preserve"> and -NP30</w:t>
      </w:r>
      <w:r w:rsidR="00DF251D">
        <w:t xml:space="preserve">, as well as </w:t>
      </w:r>
      <w:r w:rsidR="00DF251D" w:rsidRPr="00585767">
        <w:t xml:space="preserve">continued access to </w:t>
      </w:r>
      <w:r w:rsidR="00831B3C">
        <w:t xml:space="preserve">those folders previously </w:t>
      </w:r>
      <w:r w:rsidR="00DF251D" w:rsidRPr="00585767">
        <w:t>granted to it in Docket Nos. ACR2014, ACR2015, ACR2016, ACR2017, ACR2018</w:t>
      </w:r>
      <w:r w:rsidR="00DF251D">
        <w:t xml:space="preserve">, </w:t>
      </w:r>
      <w:r w:rsidR="00DF251D" w:rsidRPr="00585767">
        <w:t>ACR2019</w:t>
      </w:r>
      <w:r w:rsidR="00831B3C">
        <w:t>,</w:t>
      </w:r>
      <w:r w:rsidR="00DF251D">
        <w:t xml:space="preserve"> ACR2020</w:t>
      </w:r>
      <w:r w:rsidR="00D70DAD">
        <w:t>,</w:t>
      </w:r>
      <w:r w:rsidR="00831B3C">
        <w:t xml:space="preserve"> and ACR2021</w:t>
      </w:r>
      <w:r w:rsidR="00DF251D">
        <w:t>.</w:t>
      </w:r>
    </w:p>
    <w:p w14:paraId="12A25DA3" w14:textId="77777777" w:rsidR="00BC629D" w:rsidRPr="00585767" w:rsidRDefault="00BC629D" w:rsidP="00CB706F">
      <w:pPr>
        <w:pStyle w:val="Heading1"/>
      </w:pPr>
      <w:r w:rsidRPr="00585767">
        <w:t>ORDERING PARAGRAPHS</w:t>
      </w:r>
    </w:p>
    <w:p w14:paraId="79EEE963" w14:textId="77777777" w:rsidR="00FB3E0C" w:rsidRPr="00585767" w:rsidRDefault="00FB3E0C" w:rsidP="00F23C40">
      <w:pPr>
        <w:spacing w:before="120" w:after="240"/>
        <w:ind w:firstLine="0"/>
        <w:rPr>
          <w:rFonts w:cs="Arial"/>
        </w:rPr>
      </w:pPr>
      <w:r w:rsidRPr="00585767">
        <w:rPr>
          <w:rFonts w:cs="Arial"/>
          <w:i/>
        </w:rPr>
        <w:t>It is ordered</w:t>
      </w:r>
      <w:r w:rsidRPr="00585767">
        <w:rPr>
          <w:rFonts w:cs="Arial"/>
        </w:rPr>
        <w:t>:</w:t>
      </w:r>
    </w:p>
    <w:p w14:paraId="5D7C7D7D" w14:textId="4C7AB33D" w:rsidR="00A67175" w:rsidRPr="00585767" w:rsidRDefault="00FB3E0C" w:rsidP="00306122">
      <w:pPr>
        <w:numPr>
          <w:ilvl w:val="0"/>
          <w:numId w:val="16"/>
        </w:numPr>
        <w:spacing w:after="360"/>
        <w:ind w:hanging="720"/>
        <w:rPr>
          <w:rFonts w:cs="Arial"/>
        </w:rPr>
      </w:pPr>
      <w:r w:rsidRPr="00585767">
        <w:rPr>
          <w:rFonts w:cs="Arial"/>
        </w:rPr>
        <w:t>United Parcel Service, Inc.’s Motion Requesting Access to Non-Public Materials Under Protective Conditions</w:t>
      </w:r>
      <w:r w:rsidR="000A07A7" w:rsidRPr="00585767">
        <w:rPr>
          <w:rFonts w:cs="Arial"/>
        </w:rPr>
        <w:t>, filed</w:t>
      </w:r>
      <w:r w:rsidRPr="00585767">
        <w:rPr>
          <w:rFonts w:cs="Arial"/>
        </w:rPr>
        <w:t xml:space="preserve"> January </w:t>
      </w:r>
      <w:r w:rsidR="00D10F48">
        <w:rPr>
          <w:rFonts w:cs="Arial"/>
        </w:rPr>
        <w:t>1</w:t>
      </w:r>
      <w:r w:rsidR="00831B3C">
        <w:rPr>
          <w:rFonts w:cs="Arial"/>
        </w:rPr>
        <w:t>3</w:t>
      </w:r>
      <w:r w:rsidR="00D10F48">
        <w:rPr>
          <w:rFonts w:cs="Arial"/>
        </w:rPr>
        <w:t>, 202</w:t>
      </w:r>
      <w:r w:rsidR="00831B3C">
        <w:rPr>
          <w:rFonts w:cs="Arial"/>
        </w:rPr>
        <w:t>3</w:t>
      </w:r>
      <w:r w:rsidRPr="00585767">
        <w:rPr>
          <w:rFonts w:cs="Arial"/>
        </w:rPr>
        <w:t>, is granted, and access is hereby granted to the non-public materia</w:t>
      </w:r>
      <w:r w:rsidR="00D10F48">
        <w:rPr>
          <w:rFonts w:cs="Arial"/>
        </w:rPr>
        <w:t>ls for use in Docket No. ACR202</w:t>
      </w:r>
      <w:r w:rsidR="00831B3C">
        <w:rPr>
          <w:rFonts w:cs="Arial"/>
        </w:rPr>
        <w:t>2</w:t>
      </w:r>
      <w:r w:rsidRPr="00585767">
        <w:rPr>
          <w:rFonts w:cs="Arial"/>
        </w:rPr>
        <w:t xml:space="preserve"> for </w:t>
      </w:r>
      <w:r w:rsidRPr="00585767">
        <w:t xml:space="preserve">Library References </w:t>
      </w:r>
      <w:r w:rsidR="00D10F48">
        <w:t>USPS-FY2</w:t>
      </w:r>
      <w:r w:rsidR="00831B3C">
        <w:t>2</w:t>
      </w:r>
      <w:r w:rsidR="00D10F48" w:rsidRPr="00585767">
        <w:t>-NP2, -NP3, -NP7, -</w:t>
      </w:r>
      <w:r w:rsidR="00D10F48">
        <w:t xml:space="preserve">NP8, NP9, -NP14, -NP22, -NP23, </w:t>
      </w:r>
      <w:r w:rsidR="00D10F48" w:rsidRPr="00585767">
        <w:t>-NP24</w:t>
      </w:r>
      <w:r w:rsidR="00FD3179">
        <w:t>,</w:t>
      </w:r>
      <w:r w:rsidR="00D10F48">
        <w:t xml:space="preserve"> and -NP30</w:t>
      </w:r>
      <w:r w:rsidR="00A37FDB" w:rsidRPr="00585767">
        <w:t>.</w:t>
      </w:r>
    </w:p>
    <w:p w14:paraId="58C6FDE4" w14:textId="0FABC1F7" w:rsidR="007C4613" w:rsidRPr="00FE4F94" w:rsidRDefault="00D11C3E" w:rsidP="00FE4F94">
      <w:pPr>
        <w:numPr>
          <w:ilvl w:val="0"/>
          <w:numId w:val="16"/>
        </w:numPr>
        <w:spacing w:after="360"/>
        <w:ind w:hanging="720"/>
        <w:rPr>
          <w:rFonts w:cs="Arial"/>
        </w:rPr>
      </w:pPr>
      <w:r w:rsidRPr="00585767">
        <w:rPr>
          <w:rFonts w:cs="Arial"/>
        </w:rPr>
        <w:t>United Parcel Service, Inc. is hereby granted continued access to the non</w:t>
      </w:r>
      <w:r w:rsidR="00297322" w:rsidRPr="00585767">
        <w:rPr>
          <w:rFonts w:cs="Arial"/>
        </w:rPr>
        <w:t>-</w:t>
      </w:r>
      <w:r w:rsidRPr="00585767">
        <w:rPr>
          <w:rFonts w:cs="Arial"/>
        </w:rPr>
        <w:t>public materials in Docket Nos. A</w:t>
      </w:r>
      <w:r w:rsidR="00831B3C">
        <w:rPr>
          <w:rFonts w:cs="Arial"/>
        </w:rPr>
        <w:t>C</w:t>
      </w:r>
      <w:r w:rsidRPr="00585767">
        <w:rPr>
          <w:rFonts w:cs="Arial"/>
        </w:rPr>
        <w:t>R2014, ACR2015, ACR2016, ACR2017, ACR2018</w:t>
      </w:r>
      <w:r w:rsidR="00293A5F" w:rsidRPr="00585767">
        <w:rPr>
          <w:rFonts w:cs="Arial"/>
        </w:rPr>
        <w:t>,</w:t>
      </w:r>
      <w:r w:rsidR="00D10F48">
        <w:rPr>
          <w:rFonts w:cs="Arial"/>
        </w:rPr>
        <w:t xml:space="preserve"> </w:t>
      </w:r>
      <w:r w:rsidR="00342556" w:rsidRPr="00585767">
        <w:rPr>
          <w:rFonts w:cs="Arial"/>
        </w:rPr>
        <w:t>ACR2019</w:t>
      </w:r>
      <w:r w:rsidR="00D10F48">
        <w:rPr>
          <w:rFonts w:cs="Arial"/>
        </w:rPr>
        <w:t>, ACR2020</w:t>
      </w:r>
      <w:r w:rsidR="00CE6E1B">
        <w:rPr>
          <w:rFonts w:cs="Arial"/>
        </w:rPr>
        <w:t>,</w:t>
      </w:r>
      <w:r w:rsidR="00831B3C">
        <w:rPr>
          <w:rFonts w:cs="Arial"/>
        </w:rPr>
        <w:t xml:space="preserve"> and ACR2021</w:t>
      </w:r>
      <w:r w:rsidR="00342556" w:rsidRPr="00585767">
        <w:rPr>
          <w:rFonts w:cs="Arial"/>
        </w:rPr>
        <w:t xml:space="preserve"> for </w:t>
      </w:r>
      <w:r w:rsidR="00D10F48">
        <w:rPr>
          <w:rFonts w:cs="Arial"/>
        </w:rPr>
        <w:t>use in Docket No. ACR202</w:t>
      </w:r>
      <w:r w:rsidR="00831B3C">
        <w:rPr>
          <w:rFonts w:cs="Arial"/>
        </w:rPr>
        <w:t>2</w:t>
      </w:r>
      <w:r w:rsidRPr="00585767">
        <w:rPr>
          <w:rFonts w:cs="Arial"/>
        </w:rPr>
        <w:t>.</w:t>
      </w:r>
      <w:r w:rsidR="00FE4F94" w:rsidRPr="00FE4F94">
        <w:rPr>
          <w:rFonts w:cs="Arial"/>
        </w:rPr>
        <w:br w:type="page"/>
      </w:r>
    </w:p>
    <w:p w14:paraId="3A2192FD" w14:textId="012A0B35" w:rsidR="00FB3E0C" w:rsidRPr="00585767" w:rsidRDefault="00FB3E0C" w:rsidP="005C5D93">
      <w:pPr>
        <w:numPr>
          <w:ilvl w:val="0"/>
          <w:numId w:val="16"/>
        </w:numPr>
        <w:spacing w:after="360"/>
        <w:ind w:hanging="720"/>
      </w:pPr>
      <w:r w:rsidRPr="00585767">
        <w:rPr>
          <w:rFonts w:cs="Arial"/>
        </w:rPr>
        <w:lastRenderedPageBreak/>
        <w:t>Effective upon issuance of this Order, the</w:t>
      </w:r>
      <w:r w:rsidR="00FD3179">
        <w:rPr>
          <w:rFonts w:cs="Arial"/>
        </w:rPr>
        <w:t xml:space="preserve"> 1</w:t>
      </w:r>
      <w:r w:rsidR="00831B3C">
        <w:rPr>
          <w:rFonts w:cs="Arial"/>
        </w:rPr>
        <w:t>4</w:t>
      </w:r>
      <w:r w:rsidRPr="00585767">
        <w:rPr>
          <w:rFonts w:cs="Arial"/>
        </w:rPr>
        <w:t xml:space="preserve"> </w:t>
      </w:r>
      <w:r w:rsidR="00434058" w:rsidRPr="00585767">
        <w:rPr>
          <w:rFonts w:cs="Arial"/>
        </w:rPr>
        <w:t>individuals</w:t>
      </w:r>
      <w:r w:rsidRPr="00585767">
        <w:rPr>
          <w:rFonts w:cs="Arial"/>
        </w:rPr>
        <w:t xml:space="preserve"> covered by the </w:t>
      </w:r>
      <w:r w:rsidR="008B7744" w:rsidRPr="00585767">
        <w:rPr>
          <w:rFonts w:cs="Arial"/>
        </w:rPr>
        <w:t>M</w:t>
      </w:r>
      <w:r w:rsidRPr="00585767">
        <w:rPr>
          <w:rFonts w:cs="Arial"/>
        </w:rPr>
        <w:t>otion are each granted access to the non-public materials.</w:t>
      </w:r>
    </w:p>
    <w:p w14:paraId="3510C582" w14:textId="1919BA07" w:rsidR="00B874C6" w:rsidRPr="00585767" w:rsidRDefault="00A12B12" w:rsidP="00831B3C">
      <w:pPr>
        <w:tabs>
          <w:tab w:val="left" w:pos="3857"/>
        </w:tabs>
        <w:spacing w:line="240" w:lineRule="auto"/>
        <w:ind w:firstLine="0"/>
      </w:pPr>
      <w:r w:rsidRPr="00585767">
        <w:rPr>
          <w:szCs w:val="24"/>
        </w:rPr>
        <w:t>By the Commission.</w:t>
      </w:r>
    </w:p>
    <w:p w14:paraId="5F75DEA5" w14:textId="77777777" w:rsidR="00BD4FBA" w:rsidRPr="00585767" w:rsidRDefault="00BD4FBA" w:rsidP="00E80A91">
      <w:pPr>
        <w:pStyle w:val="NormalLeft"/>
        <w:spacing w:line="240" w:lineRule="auto"/>
      </w:pPr>
    </w:p>
    <w:p w14:paraId="47EB58A7" w14:textId="77777777" w:rsidR="008B7BFE" w:rsidRPr="00585767" w:rsidRDefault="008B7BFE" w:rsidP="00E80A91">
      <w:pPr>
        <w:pStyle w:val="NormalLeft"/>
        <w:spacing w:line="240" w:lineRule="auto"/>
      </w:pPr>
    </w:p>
    <w:p w14:paraId="2AB4CA0C" w14:textId="77777777" w:rsidR="0020215C" w:rsidRPr="00585767" w:rsidRDefault="0020215C" w:rsidP="00E80A91">
      <w:pPr>
        <w:pStyle w:val="NormalLeft"/>
        <w:spacing w:line="240" w:lineRule="auto"/>
      </w:pPr>
    </w:p>
    <w:p w14:paraId="74B7FDDB" w14:textId="77777777" w:rsidR="00B874C6" w:rsidRPr="00585767" w:rsidRDefault="00A77708" w:rsidP="003279A2">
      <w:pPr>
        <w:spacing w:line="240" w:lineRule="auto"/>
        <w:ind w:left="5040" w:firstLine="0"/>
        <w:rPr>
          <w:szCs w:val="24"/>
        </w:rPr>
      </w:pPr>
      <w:r w:rsidRPr="00585767">
        <w:rPr>
          <w:szCs w:val="24"/>
        </w:rPr>
        <w:t xml:space="preserve">Erica </w:t>
      </w:r>
      <w:r w:rsidR="006C654E" w:rsidRPr="00585767">
        <w:rPr>
          <w:szCs w:val="24"/>
        </w:rPr>
        <w:t xml:space="preserve">A. </w:t>
      </w:r>
      <w:r w:rsidRPr="00585767">
        <w:rPr>
          <w:szCs w:val="24"/>
        </w:rPr>
        <w:t>Barker</w:t>
      </w:r>
    </w:p>
    <w:p w14:paraId="5192B00C" w14:textId="77777777" w:rsidR="001277CF" w:rsidRPr="00585767" w:rsidRDefault="00BB1CE6" w:rsidP="003279A2">
      <w:pPr>
        <w:spacing w:line="240" w:lineRule="auto"/>
        <w:ind w:left="5040" w:firstLine="0"/>
        <w:rPr>
          <w:szCs w:val="24"/>
        </w:rPr>
      </w:pPr>
      <w:r w:rsidRPr="00585767">
        <w:rPr>
          <w:szCs w:val="24"/>
        </w:rPr>
        <w:t>Secretary</w:t>
      </w:r>
    </w:p>
    <w:sectPr w:rsidR="001277CF" w:rsidRPr="00585767" w:rsidSect="00DA1CA1">
      <w:headerReference w:type="default" r:id="rId8"/>
      <w:footerReference w:type="default" r:id="rId9"/>
      <w:footnotePr>
        <w:numRestart w:val="eachSect"/>
      </w:footnotePr>
      <w:pgSz w:w="12240" w:h="15840" w:code="1"/>
      <w:pgMar w:top="1440" w:right="1440" w:bottom="1440" w:left="1440" w:header="1440" w:footer="144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41854" w14:textId="77777777" w:rsidR="00644570" w:rsidRDefault="00644570">
      <w:r>
        <w:separator/>
      </w:r>
    </w:p>
  </w:endnote>
  <w:endnote w:type="continuationSeparator" w:id="0">
    <w:p w14:paraId="42467C1A" w14:textId="77777777" w:rsidR="00644570" w:rsidRDefault="00644570">
      <w:r>
        <w:continuationSeparator/>
      </w:r>
    </w:p>
  </w:endnote>
  <w:endnote w:type="continuationNotice" w:id="1">
    <w:p w14:paraId="01429A07" w14:textId="77777777" w:rsidR="00644570" w:rsidRDefault="006445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BD46" w14:textId="77777777" w:rsidR="00965C97" w:rsidRDefault="00965C97" w:rsidP="005D158B">
    <w:pPr>
      <w:pStyle w:val="Footer"/>
      <w:spacing w:line="240" w:lineRule="auto"/>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A46AA" w14:textId="77777777" w:rsidR="00644570" w:rsidRDefault="00644570" w:rsidP="00D22D92">
      <w:pPr>
        <w:pStyle w:val="NormalLeft"/>
        <w:spacing w:after="120" w:line="240" w:lineRule="auto"/>
      </w:pPr>
      <w:r>
        <w:separator/>
      </w:r>
    </w:p>
  </w:footnote>
  <w:footnote w:type="continuationSeparator" w:id="0">
    <w:p w14:paraId="481A0EF3" w14:textId="77777777" w:rsidR="00644570" w:rsidRDefault="00644570" w:rsidP="00D22D92">
      <w:pPr>
        <w:pStyle w:val="NormalLeft"/>
        <w:spacing w:after="120" w:line="240" w:lineRule="auto"/>
      </w:pPr>
      <w:r>
        <w:separator/>
      </w:r>
    </w:p>
  </w:footnote>
  <w:footnote w:type="continuationNotice" w:id="1">
    <w:p w14:paraId="1769BC1B" w14:textId="77777777" w:rsidR="00644570" w:rsidRDefault="00644570">
      <w:pPr>
        <w:spacing w:line="240" w:lineRule="auto"/>
      </w:pPr>
    </w:p>
  </w:footnote>
  <w:footnote w:id="2">
    <w:p w14:paraId="7D02BDF1" w14:textId="144B8D39" w:rsidR="004D5911" w:rsidRPr="002644D9" w:rsidRDefault="004D5911" w:rsidP="004E4C06">
      <w:pPr>
        <w:pStyle w:val="FootnoteText"/>
        <w:rPr>
          <w:rFonts w:cs="Arial"/>
          <w:color w:val="000000" w:themeColor="text1"/>
        </w:rPr>
      </w:pPr>
      <w:r w:rsidRPr="002644D9">
        <w:rPr>
          <w:rStyle w:val="FootnoteReference"/>
          <w:rFonts w:cs="Arial"/>
          <w:color w:val="000000" w:themeColor="text1"/>
        </w:rPr>
        <w:footnoteRef/>
      </w:r>
      <w:r w:rsidRPr="002644D9">
        <w:rPr>
          <w:rFonts w:cs="Arial"/>
          <w:color w:val="000000" w:themeColor="text1"/>
        </w:rPr>
        <w:t xml:space="preserve"> United Parcel Service, Inc.’s Motion Requesting Access to Non-Public Materials Under Protective Conditions, January </w:t>
      </w:r>
      <w:r w:rsidR="000B3664" w:rsidRPr="002644D9">
        <w:rPr>
          <w:rFonts w:cs="Arial"/>
          <w:color w:val="000000" w:themeColor="text1"/>
        </w:rPr>
        <w:t>13, 2023</w:t>
      </w:r>
      <w:r w:rsidRPr="002644D9">
        <w:rPr>
          <w:rFonts w:cs="Arial"/>
          <w:color w:val="000000" w:themeColor="text1"/>
        </w:rPr>
        <w:t>, at 1 (Motion).</w:t>
      </w:r>
    </w:p>
  </w:footnote>
  <w:footnote w:id="3">
    <w:p w14:paraId="37E13A2E" w14:textId="44FCA4EE" w:rsidR="00442DAD" w:rsidRPr="002644D9" w:rsidRDefault="00442DAD" w:rsidP="004E4C06">
      <w:pPr>
        <w:pStyle w:val="FootnoteText"/>
        <w:rPr>
          <w:color w:val="000000" w:themeColor="text1"/>
        </w:rPr>
      </w:pPr>
      <w:r w:rsidRPr="002644D9">
        <w:rPr>
          <w:rStyle w:val="FootnoteReference"/>
          <w:color w:val="000000" w:themeColor="text1"/>
        </w:rPr>
        <w:footnoteRef/>
      </w:r>
      <w:r w:rsidRPr="002644D9">
        <w:rPr>
          <w:color w:val="000000" w:themeColor="text1"/>
        </w:rPr>
        <w:t xml:space="preserve"> </w:t>
      </w:r>
      <w:r w:rsidR="0080185B" w:rsidRPr="002644D9">
        <w:rPr>
          <w:i/>
          <w:color w:val="000000" w:themeColor="text1"/>
        </w:rPr>
        <w:t>See</w:t>
      </w:r>
      <w:r w:rsidR="0080185B" w:rsidRPr="002644D9">
        <w:rPr>
          <w:color w:val="000000" w:themeColor="text1"/>
        </w:rPr>
        <w:t xml:space="preserve"> </w:t>
      </w:r>
      <w:r w:rsidRPr="002644D9">
        <w:rPr>
          <w:color w:val="000000" w:themeColor="text1"/>
        </w:rPr>
        <w:t xml:space="preserve">Order Granting Motion for Access, </w:t>
      </w:r>
      <w:r w:rsidR="00F222DB" w:rsidRPr="002644D9">
        <w:rPr>
          <w:color w:val="000000" w:themeColor="text1"/>
        </w:rPr>
        <w:t>i</w:t>
      </w:r>
      <w:r w:rsidRPr="002644D9">
        <w:rPr>
          <w:color w:val="000000" w:themeColor="text1"/>
        </w:rPr>
        <w:t xml:space="preserve">n Part, </w:t>
      </w:r>
      <w:r w:rsidR="00847F77" w:rsidRPr="002644D9">
        <w:rPr>
          <w:color w:val="000000" w:themeColor="text1"/>
        </w:rPr>
        <w:t>January 18, 2023</w:t>
      </w:r>
      <w:r w:rsidRPr="002644D9">
        <w:rPr>
          <w:color w:val="000000" w:themeColor="text1"/>
        </w:rPr>
        <w:t xml:space="preserve"> (Order No. </w:t>
      </w:r>
      <w:r w:rsidR="00847F77" w:rsidRPr="002644D9">
        <w:rPr>
          <w:color w:val="000000" w:themeColor="text1"/>
        </w:rPr>
        <w:t>6417</w:t>
      </w:r>
      <w:r w:rsidRPr="002644D9">
        <w:rPr>
          <w:color w:val="000000" w:themeColor="text1"/>
        </w:rPr>
        <w:t>).</w:t>
      </w:r>
    </w:p>
  </w:footnote>
  <w:footnote w:id="4">
    <w:p w14:paraId="3C5AC98E" w14:textId="38FDD36A" w:rsidR="00836D1E" w:rsidRPr="002644D9" w:rsidRDefault="00836D1E" w:rsidP="004E4C06">
      <w:pPr>
        <w:pStyle w:val="FootnoteText"/>
        <w:rPr>
          <w:rFonts w:cs="Arial"/>
          <w:color w:val="000000" w:themeColor="text1"/>
        </w:rPr>
      </w:pPr>
      <w:r w:rsidRPr="002644D9">
        <w:rPr>
          <w:rStyle w:val="FootnoteReference"/>
          <w:rFonts w:cs="Arial"/>
          <w:color w:val="000000" w:themeColor="text1"/>
        </w:rPr>
        <w:footnoteRef/>
      </w:r>
      <w:r w:rsidRPr="002644D9">
        <w:rPr>
          <w:rFonts w:cs="Arial"/>
          <w:color w:val="000000" w:themeColor="text1"/>
        </w:rPr>
        <w:t xml:space="preserve"> United States Postal Service Response to United Parcel Service Inc.’s Motion Requesting Access to Non-Public Materials Under P</w:t>
      </w:r>
      <w:r w:rsidR="00B859BC" w:rsidRPr="002644D9">
        <w:rPr>
          <w:rFonts w:cs="Arial"/>
          <w:color w:val="000000" w:themeColor="text1"/>
        </w:rPr>
        <w:t xml:space="preserve">rotective Conditions, January </w:t>
      </w:r>
      <w:r w:rsidR="00847F77" w:rsidRPr="002644D9">
        <w:rPr>
          <w:rFonts w:cs="Arial"/>
          <w:color w:val="000000" w:themeColor="text1"/>
        </w:rPr>
        <w:t>20, 2023</w:t>
      </w:r>
      <w:r w:rsidRPr="002644D9">
        <w:rPr>
          <w:rFonts w:cs="Arial"/>
          <w:color w:val="000000" w:themeColor="text1"/>
        </w:rPr>
        <w:t xml:space="preserve">, at </w:t>
      </w:r>
      <w:r w:rsidR="00847F77" w:rsidRPr="002644D9">
        <w:rPr>
          <w:rFonts w:cs="Arial"/>
          <w:color w:val="000000" w:themeColor="text1"/>
        </w:rPr>
        <w:t>3</w:t>
      </w:r>
      <w:r w:rsidRPr="002644D9">
        <w:rPr>
          <w:rFonts w:cs="Arial"/>
          <w:color w:val="000000" w:themeColor="text1"/>
        </w:rPr>
        <w:t xml:space="preserve"> (Postal Service R</w:t>
      </w:r>
      <w:r w:rsidR="00C171A4" w:rsidRPr="002644D9">
        <w:rPr>
          <w:rFonts w:cs="Arial"/>
          <w:color w:val="000000" w:themeColor="text1"/>
        </w:rPr>
        <w:t>esponse).</w:t>
      </w:r>
    </w:p>
  </w:footnote>
  <w:footnote w:id="5">
    <w:p w14:paraId="33009B67" w14:textId="4BE20F94" w:rsidR="79D07F9F" w:rsidRPr="002644D9" w:rsidRDefault="79D07F9F" w:rsidP="00ED1EF1">
      <w:pPr>
        <w:pStyle w:val="FootnoteText"/>
        <w:rPr>
          <w:i/>
          <w:color w:val="000000" w:themeColor="text1"/>
        </w:rPr>
      </w:pPr>
      <w:r w:rsidRPr="002644D9">
        <w:rPr>
          <w:rStyle w:val="FootnoteReference"/>
          <w:color w:val="000000" w:themeColor="text1"/>
        </w:rPr>
        <w:footnoteRef/>
      </w:r>
      <w:r w:rsidR="3FFB2F59" w:rsidRPr="002644D9">
        <w:rPr>
          <w:color w:val="000000" w:themeColor="text1"/>
        </w:rPr>
        <w:t xml:space="preserve"> </w:t>
      </w:r>
      <w:r w:rsidR="189710CB" w:rsidRPr="002644D9">
        <w:rPr>
          <w:color w:val="000000" w:themeColor="text1"/>
        </w:rPr>
        <w:t>Motion at 3-6.</w:t>
      </w:r>
      <w:r w:rsidR="26F7A45F" w:rsidRPr="002644D9">
        <w:rPr>
          <w:color w:val="000000" w:themeColor="text1"/>
        </w:rPr>
        <w:t xml:space="preserve">  </w:t>
      </w:r>
      <w:r w:rsidR="00C10F65" w:rsidRPr="002644D9">
        <w:rPr>
          <w:iCs/>
          <w:color w:val="000000" w:themeColor="text1"/>
        </w:rPr>
        <w:t>To wit:</w:t>
      </w:r>
      <w:r w:rsidR="26F7A45F" w:rsidRPr="002644D9">
        <w:rPr>
          <w:color w:val="000000" w:themeColor="text1"/>
        </w:rPr>
        <w:t xml:space="preserve"> </w:t>
      </w:r>
      <w:r w:rsidR="2BCB4853" w:rsidRPr="002644D9">
        <w:rPr>
          <w:color w:val="000000" w:themeColor="text1"/>
        </w:rPr>
        <w:t>compliance</w:t>
      </w:r>
      <w:r w:rsidR="15C18A69" w:rsidRPr="002644D9">
        <w:rPr>
          <w:color w:val="000000" w:themeColor="text1"/>
        </w:rPr>
        <w:t xml:space="preserve"> associated with</w:t>
      </w:r>
      <w:r w:rsidR="0F1BCA46" w:rsidRPr="002644D9">
        <w:rPr>
          <w:color w:val="000000" w:themeColor="text1"/>
        </w:rPr>
        <w:t xml:space="preserve"> cost coverage</w:t>
      </w:r>
      <w:r w:rsidR="6468A900" w:rsidRPr="002644D9">
        <w:rPr>
          <w:color w:val="000000" w:themeColor="text1"/>
        </w:rPr>
        <w:t>,</w:t>
      </w:r>
      <w:r w:rsidR="0F1BCA46" w:rsidRPr="002644D9">
        <w:rPr>
          <w:color w:val="000000" w:themeColor="text1"/>
        </w:rPr>
        <w:t xml:space="preserve"> service performance results, </w:t>
      </w:r>
      <w:r w:rsidR="4E5EEB16" w:rsidRPr="002644D9">
        <w:rPr>
          <w:color w:val="000000" w:themeColor="text1"/>
        </w:rPr>
        <w:t xml:space="preserve">the accuracy </w:t>
      </w:r>
      <w:r w:rsidR="71B1011D" w:rsidRPr="002644D9">
        <w:rPr>
          <w:color w:val="000000" w:themeColor="text1"/>
        </w:rPr>
        <w:t xml:space="preserve">and </w:t>
      </w:r>
      <w:r w:rsidR="15031725" w:rsidRPr="002644D9">
        <w:rPr>
          <w:color w:val="000000" w:themeColor="text1"/>
        </w:rPr>
        <w:t xml:space="preserve">completeness </w:t>
      </w:r>
      <w:r w:rsidR="4E5EEB16" w:rsidRPr="002644D9">
        <w:rPr>
          <w:color w:val="000000" w:themeColor="text1"/>
        </w:rPr>
        <w:t>of</w:t>
      </w:r>
      <w:r w:rsidR="0F1BCA46" w:rsidRPr="002644D9">
        <w:rPr>
          <w:color w:val="000000" w:themeColor="text1"/>
        </w:rPr>
        <w:t xml:space="preserve"> figures, the extent to which costs attributed in certain cost components affect costs attributed in other cost components at the individual </w:t>
      </w:r>
      <w:r w:rsidR="00EB579F" w:rsidRPr="002644D9">
        <w:rPr>
          <w:color w:val="000000" w:themeColor="text1"/>
        </w:rPr>
        <w:t>C</w:t>
      </w:r>
      <w:r w:rsidR="0F1BCA46" w:rsidRPr="002644D9">
        <w:rPr>
          <w:color w:val="000000" w:themeColor="text1"/>
        </w:rPr>
        <w:t>ompetitive product level, and international competitive costing practices</w:t>
      </w:r>
      <w:r w:rsidR="0C86A847" w:rsidRPr="002644D9">
        <w:rPr>
          <w:color w:val="000000" w:themeColor="text1"/>
        </w:rPr>
        <w:t>.</w:t>
      </w:r>
      <w:r w:rsidR="26F7A45F" w:rsidRPr="002644D9">
        <w:rPr>
          <w:color w:val="000000" w:themeColor="text1"/>
        </w:rPr>
        <w:t xml:space="preserve">  </w:t>
      </w:r>
      <w:r w:rsidR="5F3B3CD9" w:rsidRPr="002644D9">
        <w:rPr>
          <w:i/>
          <w:iCs/>
          <w:color w:val="000000" w:themeColor="text1"/>
        </w:rPr>
        <w:t>Id</w:t>
      </w:r>
      <w:r w:rsidR="5F3B3CD9" w:rsidRPr="002644D9">
        <w:rPr>
          <w:color w:val="000000" w:themeColor="text1"/>
        </w:rPr>
        <w:t>.</w:t>
      </w:r>
    </w:p>
  </w:footnote>
  <w:footnote w:id="6">
    <w:p w14:paraId="3DE890F0" w14:textId="6FE214F1" w:rsidR="5E7CA5D5" w:rsidRPr="002644D9" w:rsidRDefault="5E7CA5D5" w:rsidP="004E4C06">
      <w:pPr>
        <w:pStyle w:val="FootnoteText"/>
        <w:rPr>
          <w:color w:val="000000" w:themeColor="text1"/>
        </w:rPr>
      </w:pPr>
      <w:r w:rsidRPr="002644D9">
        <w:rPr>
          <w:rStyle w:val="FootnoteReference"/>
          <w:color w:val="000000" w:themeColor="text1"/>
        </w:rPr>
        <w:footnoteRef/>
      </w:r>
      <w:r w:rsidRPr="002644D9">
        <w:rPr>
          <w:color w:val="000000" w:themeColor="text1"/>
        </w:rPr>
        <w:t xml:space="preserve"> </w:t>
      </w:r>
      <w:r w:rsidRPr="002644D9">
        <w:rPr>
          <w:i/>
          <w:iCs/>
          <w:color w:val="000000" w:themeColor="text1"/>
        </w:rPr>
        <w:t xml:space="preserve">See </w:t>
      </w:r>
      <w:r w:rsidRPr="002644D9">
        <w:rPr>
          <w:color w:val="000000" w:themeColor="text1"/>
        </w:rPr>
        <w:t xml:space="preserve">Postal Service Response at 2.  </w:t>
      </w:r>
      <w:r w:rsidRPr="002644D9">
        <w:rPr>
          <w:i/>
          <w:iCs/>
          <w:color w:val="000000" w:themeColor="text1"/>
        </w:rPr>
        <w:t>See also</w:t>
      </w:r>
      <w:r w:rsidRPr="002644D9">
        <w:rPr>
          <w:color w:val="000000" w:themeColor="text1"/>
        </w:rPr>
        <w:t>,</w:t>
      </w:r>
      <w:r w:rsidRPr="002644D9">
        <w:rPr>
          <w:i/>
          <w:iCs/>
          <w:color w:val="000000" w:themeColor="text1"/>
        </w:rPr>
        <w:t xml:space="preserve"> e.g.</w:t>
      </w:r>
      <w:r w:rsidRPr="002644D9">
        <w:rPr>
          <w:color w:val="000000" w:themeColor="text1"/>
        </w:rPr>
        <w:t>,</w:t>
      </w:r>
      <w:r w:rsidRPr="002644D9">
        <w:rPr>
          <w:i/>
          <w:iCs/>
          <w:color w:val="000000" w:themeColor="text1"/>
        </w:rPr>
        <w:t xml:space="preserve"> </w:t>
      </w:r>
      <w:r w:rsidRPr="002644D9">
        <w:rPr>
          <w:color w:val="000000" w:themeColor="text1"/>
        </w:rPr>
        <w:t xml:space="preserve">Docket No. ACR2021, </w:t>
      </w:r>
      <w:r w:rsidRPr="002644D9">
        <w:rPr>
          <w:rFonts w:cs="Arial"/>
          <w:color w:val="000000" w:themeColor="text1"/>
        </w:rPr>
        <w:t>United States Postal Service Notice of Filing Responses to United Parcel Service Inc.’s Motion Requesting Access to Non-Public Materials Under Protective Conditions, January 26, 2022, at 2; Docket No. ACR2020, United States Postal Service Response to United Parcel Service Inc.’s Motion Requesting Access to Non-Public Materials Under Protective Conditions, January 19, 2021, at 2.</w:t>
      </w:r>
    </w:p>
  </w:footnote>
  <w:footnote w:id="7">
    <w:p w14:paraId="0DBD917D" w14:textId="3B2FD797" w:rsidR="5E7CA5D5" w:rsidRPr="002644D9" w:rsidRDefault="5E7CA5D5" w:rsidP="004E4C06">
      <w:pPr>
        <w:pStyle w:val="FootnoteText"/>
        <w:rPr>
          <w:color w:val="000000" w:themeColor="text1"/>
        </w:rPr>
      </w:pPr>
      <w:r w:rsidRPr="002644D9">
        <w:rPr>
          <w:rStyle w:val="FootnoteReference"/>
          <w:color w:val="000000" w:themeColor="text1"/>
        </w:rPr>
        <w:footnoteRef/>
      </w:r>
      <w:r w:rsidRPr="002644D9">
        <w:rPr>
          <w:color w:val="000000" w:themeColor="text1"/>
        </w:rPr>
        <w:t xml:space="preserve"> Postal Service Response, Attachment 1.</w:t>
      </w:r>
    </w:p>
  </w:footnote>
  <w:footnote w:id="8">
    <w:p w14:paraId="124560A4" w14:textId="61352EE4" w:rsidR="5E7CA5D5" w:rsidRPr="002644D9" w:rsidRDefault="5E7CA5D5" w:rsidP="004E4C06">
      <w:pPr>
        <w:pStyle w:val="FootnoteText"/>
        <w:rPr>
          <w:color w:val="000000" w:themeColor="text1"/>
        </w:rPr>
      </w:pPr>
      <w:r w:rsidRPr="002644D9">
        <w:rPr>
          <w:rStyle w:val="FootnoteReference"/>
          <w:color w:val="000000" w:themeColor="text1"/>
        </w:rPr>
        <w:footnoteRef/>
      </w:r>
      <w:r w:rsidRPr="002644D9">
        <w:rPr>
          <w:color w:val="000000" w:themeColor="text1"/>
        </w:rPr>
        <w:t xml:space="preserve"> Postal Service Response, Attachment 2.</w:t>
      </w:r>
    </w:p>
  </w:footnote>
  <w:footnote w:id="9">
    <w:p w14:paraId="486254F4" w14:textId="00526425" w:rsidR="006901AB" w:rsidRPr="002644D9" w:rsidRDefault="006901AB" w:rsidP="004E4C06">
      <w:pPr>
        <w:pStyle w:val="FootnoteText"/>
        <w:rPr>
          <w:rFonts w:cs="Arial"/>
          <w:color w:val="000000" w:themeColor="text1"/>
        </w:rPr>
      </w:pPr>
      <w:r w:rsidRPr="002644D9">
        <w:rPr>
          <w:rStyle w:val="FootnoteReference"/>
          <w:rFonts w:cs="Arial"/>
          <w:color w:val="000000" w:themeColor="text1"/>
        </w:rPr>
        <w:footnoteRef/>
      </w:r>
      <w:r w:rsidRPr="002644D9">
        <w:rPr>
          <w:rFonts w:cs="Arial"/>
          <w:color w:val="000000" w:themeColor="text1"/>
        </w:rPr>
        <w:t xml:space="preserve"> </w:t>
      </w:r>
      <w:r w:rsidR="00FE61DD" w:rsidRPr="002644D9">
        <w:rPr>
          <w:rFonts w:cs="Arial"/>
          <w:color w:val="000000" w:themeColor="text1"/>
        </w:rPr>
        <w:t xml:space="preserve">Non-Public Information, </w:t>
      </w:r>
      <w:r w:rsidRPr="002644D9">
        <w:rPr>
          <w:rFonts w:cs="Arial"/>
          <w:color w:val="000000" w:themeColor="text1"/>
        </w:rPr>
        <w:t>83 Fed. Reg. 31,258, 31,282 (July 3, 2018) (to be codified at 39 C.F.R. §</w:t>
      </w:r>
      <w:r w:rsidR="007F305F" w:rsidRPr="002644D9">
        <w:rPr>
          <w:rFonts w:cs="Arial"/>
          <w:color w:val="000000" w:themeColor="text1"/>
        </w:rPr>
        <w:t> </w:t>
      </w:r>
      <w:r w:rsidRPr="002644D9">
        <w:rPr>
          <w:rFonts w:cs="Arial"/>
          <w:color w:val="000000" w:themeColor="text1"/>
        </w:rPr>
        <w:t xml:space="preserve">3007.101(a)).  These regulations went into effect on August 2, 2018.  </w:t>
      </w:r>
      <w:r w:rsidRPr="002644D9">
        <w:rPr>
          <w:rFonts w:cs="Arial"/>
          <w:i/>
          <w:color w:val="000000" w:themeColor="text1"/>
        </w:rPr>
        <w:t>Id</w:t>
      </w:r>
      <w:r w:rsidRPr="002644D9">
        <w:rPr>
          <w:rFonts w:cs="Arial"/>
          <w:color w:val="000000" w:themeColor="text1"/>
        </w:rPr>
        <w:t xml:space="preserve">. at 31,258.  </w:t>
      </w:r>
      <w:r w:rsidR="0054090C" w:rsidRPr="002644D9">
        <w:rPr>
          <w:color w:val="000000" w:themeColor="text1"/>
        </w:rPr>
        <w:t>The Commission’s regulations were later reorganized, and the rules pertaining to non-public material are now found at 39</w:t>
      </w:r>
      <w:r w:rsidR="002409A9" w:rsidRPr="002644D9">
        <w:rPr>
          <w:color w:val="000000" w:themeColor="text1"/>
        </w:rPr>
        <w:t> </w:t>
      </w:r>
      <w:r w:rsidR="0054090C" w:rsidRPr="002644D9">
        <w:rPr>
          <w:color w:val="000000" w:themeColor="text1"/>
        </w:rPr>
        <w:t xml:space="preserve">C.F.R. part 3011.  </w:t>
      </w:r>
      <w:r w:rsidR="0054090C" w:rsidRPr="002644D9">
        <w:rPr>
          <w:i/>
          <w:color w:val="000000" w:themeColor="text1"/>
        </w:rPr>
        <w:t>See</w:t>
      </w:r>
      <w:r w:rsidR="0054090C" w:rsidRPr="002644D9">
        <w:rPr>
          <w:color w:val="000000" w:themeColor="text1"/>
        </w:rPr>
        <w:t xml:space="preserve"> Docket No. RM2019-13, Order Reorganizing Commission Regulations and Amending Rules of Practice, January 16, 2020 (Order No. 540</w:t>
      </w:r>
      <w:r w:rsidR="00014EA3" w:rsidRPr="002644D9">
        <w:rPr>
          <w:color w:val="000000" w:themeColor="text1"/>
        </w:rPr>
        <w:t>7) (effective April 20, 2020).</w:t>
      </w:r>
    </w:p>
  </w:footnote>
  <w:footnote w:id="10">
    <w:p w14:paraId="7F61F478" w14:textId="77777777" w:rsidR="00527BB4" w:rsidRPr="002644D9" w:rsidRDefault="00527BB4" w:rsidP="004E4C06">
      <w:pPr>
        <w:pStyle w:val="FootnoteText"/>
        <w:rPr>
          <w:rFonts w:cs="Arial"/>
          <w:color w:val="000000" w:themeColor="text1"/>
        </w:rPr>
      </w:pPr>
      <w:r w:rsidRPr="002644D9">
        <w:rPr>
          <w:rStyle w:val="FootnoteReference"/>
          <w:rFonts w:cs="Arial"/>
          <w:color w:val="000000" w:themeColor="text1"/>
        </w:rPr>
        <w:footnoteRef/>
      </w:r>
      <w:r w:rsidRPr="002644D9">
        <w:rPr>
          <w:rFonts w:cs="Arial"/>
          <w:color w:val="000000" w:themeColor="text1"/>
        </w:rPr>
        <w:t xml:space="preserve"> Docket No. RM2018-3, Notice of Proposed Rulemaking Relating to Non-Public Information, February 13, 2018</w:t>
      </w:r>
      <w:r w:rsidR="00020FD5" w:rsidRPr="002644D9">
        <w:rPr>
          <w:rFonts w:cs="Arial"/>
          <w:color w:val="000000" w:themeColor="text1"/>
        </w:rPr>
        <w:t>, at 2</w:t>
      </w:r>
      <w:r w:rsidRPr="002644D9">
        <w:rPr>
          <w:rFonts w:cs="Arial"/>
          <w:color w:val="000000" w:themeColor="text1"/>
        </w:rPr>
        <w:t xml:space="preserve"> (Order No. 4403).</w:t>
      </w:r>
    </w:p>
  </w:footnote>
  <w:footnote w:id="11">
    <w:p w14:paraId="6BECAC02" w14:textId="77777777" w:rsidR="00E84EBB" w:rsidRPr="002644D9" w:rsidRDefault="00E84EBB" w:rsidP="004E4C06">
      <w:pPr>
        <w:pStyle w:val="FootnoteText"/>
        <w:rPr>
          <w:rFonts w:cs="Arial"/>
          <w:color w:val="000000" w:themeColor="text1"/>
        </w:rPr>
      </w:pPr>
      <w:r w:rsidRPr="002644D9">
        <w:rPr>
          <w:rStyle w:val="FootnoteReference"/>
          <w:rFonts w:cs="Arial"/>
          <w:color w:val="000000" w:themeColor="text1"/>
        </w:rPr>
        <w:footnoteRef/>
      </w:r>
      <w:r w:rsidRPr="002644D9">
        <w:rPr>
          <w:rFonts w:cs="Arial"/>
          <w:color w:val="000000" w:themeColor="text1"/>
        </w:rPr>
        <w:t xml:space="preserve"> Docket No. RM2018-3, Order Adopting Final Rules Relating to Non-Public Information, June 27, 2018, at 65 (Order No. 4679).</w:t>
      </w:r>
    </w:p>
  </w:footnote>
  <w:footnote w:id="12">
    <w:p w14:paraId="718FB1D9" w14:textId="77777777" w:rsidR="00836D1E" w:rsidRPr="002644D9" w:rsidRDefault="00836D1E" w:rsidP="004E4C06">
      <w:pPr>
        <w:pStyle w:val="FootnoteText"/>
        <w:rPr>
          <w:rFonts w:cs="Arial"/>
          <w:color w:val="000000" w:themeColor="text1"/>
        </w:rPr>
      </w:pPr>
      <w:r w:rsidRPr="002644D9">
        <w:rPr>
          <w:rStyle w:val="FootnoteReference"/>
          <w:rFonts w:cs="Arial"/>
          <w:color w:val="000000" w:themeColor="text1"/>
        </w:rPr>
        <w:footnoteRef/>
      </w:r>
      <w:r w:rsidRPr="002644D9">
        <w:rPr>
          <w:rFonts w:cs="Arial"/>
          <w:color w:val="000000" w:themeColor="text1"/>
        </w:rPr>
        <w:t xml:space="preserve"> </w:t>
      </w:r>
      <w:r w:rsidRPr="002644D9">
        <w:rPr>
          <w:rFonts w:cs="Arial"/>
          <w:i/>
          <w:color w:val="000000" w:themeColor="text1"/>
        </w:rPr>
        <w:t>Smith v. Yeager</w:t>
      </w:r>
      <w:r w:rsidRPr="002644D9">
        <w:rPr>
          <w:rFonts w:cs="Arial"/>
          <w:color w:val="000000" w:themeColor="text1"/>
        </w:rPr>
        <w:t>, 322 F.R.D. 96, 99 (D.D.C. 2017)</w:t>
      </w:r>
      <w:r w:rsidR="00072BE9" w:rsidRPr="002644D9">
        <w:rPr>
          <w:rFonts w:cs="Arial"/>
          <w:color w:val="000000" w:themeColor="text1"/>
        </w:rPr>
        <w:t xml:space="preserve"> </w:t>
      </w:r>
      <w:r w:rsidRPr="002644D9">
        <w:rPr>
          <w:rFonts w:cs="Arial"/>
          <w:color w:val="000000" w:themeColor="text1"/>
        </w:rPr>
        <w:t xml:space="preserve">(internal citations </w:t>
      </w:r>
      <w:r w:rsidR="001B5F37" w:rsidRPr="002644D9">
        <w:rPr>
          <w:rFonts w:cs="Arial"/>
          <w:color w:val="000000" w:themeColor="text1"/>
        </w:rPr>
        <w:t xml:space="preserve">and marks </w:t>
      </w:r>
      <w:r w:rsidRPr="002644D9">
        <w:rPr>
          <w:rFonts w:cs="Arial"/>
          <w:color w:val="000000" w:themeColor="text1"/>
        </w:rPr>
        <w:t>omitted).</w:t>
      </w:r>
    </w:p>
  </w:footnote>
  <w:footnote w:id="13">
    <w:p w14:paraId="30A6CC0B" w14:textId="4778F68B" w:rsidR="00836D1E" w:rsidRPr="002644D9" w:rsidRDefault="00836D1E" w:rsidP="004E4C06">
      <w:pPr>
        <w:pStyle w:val="FootnoteText"/>
        <w:rPr>
          <w:rFonts w:cs="Arial"/>
          <w:color w:val="000000" w:themeColor="text1"/>
        </w:rPr>
      </w:pPr>
      <w:r w:rsidRPr="002644D9">
        <w:rPr>
          <w:rStyle w:val="FootnoteReference"/>
          <w:rFonts w:cs="Arial"/>
          <w:color w:val="000000" w:themeColor="text1"/>
        </w:rPr>
        <w:footnoteRef/>
      </w:r>
      <w:r w:rsidRPr="002644D9">
        <w:rPr>
          <w:rFonts w:cs="Arial"/>
          <w:color w:val="000000" w:themeColor="text1"/>
        </w:rPr>
        <w:t xml:space="preserve"> </w:t>
      </w:r>
      <w:r w:rsidRPr="002644D9">
        <w:rPr>
          <w:rFonts w:cs="Arial"/>
          <w:i/>
          <w:color w:val="000000" w:themeColor="text1"/>
        </w:rPr>
        <w:t xml:space="preserve">Burka v. U.S. </w:t>
      </w:r>
      <w:proofErr w:type="spellStart"/>
      <w:r w:rsidRPr="002644D9">
        <w:rPr>
          <w:rFonts w:cs="Arial"/>
          <w:i/>
          <w:color w:val="000000" w:themeColor="text1"/>
        </w:rPr>
        <w:t>Dep</w:t>
      </w:r>
      <w:r w:rsidR="009F79DA" w:rsidRPr="002644D9">
        <w:rPr>
          <w:rFonts w:cs="Arial"/>
          <w:i/>
          <w:color w:val="000000" w:themeColor="text1"/>
        </w:rPr>
        <w:t>’</w:t>
      </w:r>
      <w:r w:rsidRPr="002644D9">
        <w:rPr>
          <w:rFonts w:cs="Arial"/>
          <w:i/>
          <w:color w:val="000000" w:themeColor="text1"/>
        </w:rPr>
        <w:t>t</w:t>
      </w:r>
      <w:proofErr w:type="spellEnd"/>
      <w:r w:rsidRPr="002644D9">
        <w:rPr>
          <w:rFonts w:cs="Arial"/>
          <w:i/>
          <w:color w:val="000000" w:themeColor="text1"/>
        </w:rPr>
        <w:t xml:space="preserve"> of Health </w:t>
      </w:r>
      <w:r w:rsidR="00EE1C53" w:rsidRPr="002644D9">
        <w:rPr>
          <w:rFonts w:cs="Arial"/>
          <w:i/>
          <w:color w:val="000000" w:themeColor="text1"/>
        </w:rPr>
        <w:t>&amp;</w:t>
      </w:r>
      <w:r w:rsidRPr="002644D9">
        <w:rPr>
          <w:rFonts w:cs="Arial"/>
          <w:i/>
          <w:color w:val="000000" w:themeColor="text1"/>
        </w:rPr>
        <w:t xml:space="preserve"> Hum</w:t>
      </w:r>
      <w:r w:rsidR="004E5AA0" w:rsidRPr="002644D9">
        <w:rPr>
          <w:rFonts w:cs="Arial"/>
          <w:i/>
          <w:color w:val="000000" w:themeColor="text1"/>
        </w:rPr>
        <w:t>.</w:t>
      </w:r>
      <w:r w:rsidRPr="002644D9">
        <w:rPr>
          <w:rFonts w:cs="Arial"/>
          <w:i/>
          <w:color w:val="000000" w:themeColor="text1"/>
        </w:rPr>
        <w:t xml:space="preserve"> </w:t>
      </w:r>
      <w:r w:rsidR="00AB682A" w:rsidRPr="002644D9">
        <w:rPr>
          <w:rFonts w:cs="Arial"/>
          <w:i/>
          <w:color w:val="000000" w:themeColor="text1"/>
        </w:rPr>
        <w:t>Servs.</w:t>
      </w:r>
      <w:r w:rsidRPr="002644D9">
        <w:rPr>
          <w:rFonts w:cs="Arial"/>
          <w:color w:val="000000" w:themeColor="text1"/>
        </w:rPr>
        <w:t>, 87 F.3d 508, 517 (D.C. Cir. 1996)</w:t>
      </w:r>
      <w:r w:rsidR="00E03338" w:rsidRPr="002644D9">
        <w:rPr>
          <w:rFonts w:cs="Arial"/>
          <w:color w:val="000000" w:themeColor="text1"/>
        </w:rPr>
        <w:t xml:space="preserve"> (internal citations omitted)</w:t>
      </w:r>
      <w:r w:rsidRPr="002644D9">
        <w:rPr>
          <w:rFonts w:cs="Arial"/>
          <w:color w:val="000000" w:themeColor="text1"/>
        </w:rPr>
        <w:t xml:space="preserve">.  Here, because the Postal Service has already provided the library references at issue, </w:t>
      </w:r>
      <w:r w:rsidR="00AF5CAA" w:rsidRPr="002644D9">
        <w:rPr>
          <w:rFonts w:cs="Arial"/>
          <w:color w:val="000000" w:themeColor="text1"/>
        </w:rPr>
        <w:t xml:space="preserve">the </w:t>
      </w:r>
      <w:r w:rsidRPr="002644D9">
        <w:rPr>
          <w:rFonts w:cs="Arial"/>
          <w:color w:val="000000" w:themeColor="text1"/>
        </w:rPr>
        <w:t>burden of producing the requested material is not</w:t>
      </w:r>
      <w:r w:rsidR="00E51B9F" w:rsidRPr="002644D9">
        <w:rPr>
          <w:rFonts w:cs="Arial"/>
          <w:color w:val="000000" w:themeColor="text1"/>
        </w:rPr>
        <w:t xml:space="preserve"> a</w:t>
      </w:r>
      <w:r w:rsidRPr="002644D9">
        <w:rPr>
          <w:rFonts w:cs="Arial"/>
          <w:color w:val="000000" w:themeColor="text1"/>
        </w:rPr>
        <w:t xml:space="preserve"> factor in the Commission’s analysis.</w:t>
      </w:r>
    </w:p>
  </w:footnote>
  <w:footnote w:id="14">
    <w:p w14:paraId="09EE7F5E" w14:textId="1C60CCAC" w:rsidR="00836D1E" w:rsidRPr="002644D9" w:rsidRDefault="00836D1E" w:rsidP="004E4C06">
      <w:pPr>
        <w:pStyle w:val="FootnoteText"/>
        <w:rPr>
          <w:rFonts w:cs="Arial"/>
          <w:color w:val="000000" w:themeColor="text1"/>
        </w:rPr>
      </w:pPr>
      <w:r w:rsidRPr="002644D9">
        <w:rPr>
          <w:rStyle w:val="FootnoteReference"/>
          <w:rFonts w:cs="Arial"/>
          <w:color w:val="000000" w:themeColor="text1"/>
        </w:rPr>
        <w:footnoteRef/>
      </w:r>
      <w:r w:rsidRPr="002644D9">
        <w:rPr>
          <w:rFonts w:cs="Arial"/>
          <w:color w:val="000000" w:themeColor="text1"/>
        </w:rPr>
        <w:t xml:space="preserve"> </w:t>
      </w:r>
      <w:r w:rsidR="00B3762D" w:rsidRPr="002644D9">
        <w:rPr>
          <w:rFonts w:cs="Arial"/>
          <w:i/>
          <w:color w:val="000000" w:themeColor="text1"/>
        </w:rPr>
        <w:t>See</w:t>
      </w:r>
      <w:r w:rsidR="00B3762D" w:rsidRPr="002644D9">
        <w:rPr>
          <w:rFonts w:cs="Arial"/>
          <w:color w:val="000000" w:themeColor="text1"/>
        </w:rPr>
        <w:t xml:space="preserve"> </w:t>
      </w:r>
      <w:r w:rsidRPr="002644D9">
        <w:rPr>
          <w:rFonts w:cs="Arial"/>
          <w:i/>
          <w:color w:val="000000" w:themeColor="text1"/>
        </w:rPr>
        <w:t>Castellani v. Atl</w:t>
      </w:r>
      <w:r w:rsidR="007558B7" w:rsidRPr="002644D9">
        <w:rPr>
          <w:rFonts w:cs="Arial"/>
          <w:i/>
          <w:color w:val="000000" w:themeColor="text1"/>
        </w:rPr>
        <w:t>.</w:t>
      </w:r>
      <w:r w:rsidRPr="002644D9">
        <w:rPr>
          <w:rFonts w:cs="Arial"/>
          <w:i/>
          <w:color w:val="000000" w:themeColor="text1"/>
        </w:rPr>
        <w:t xml:space="preserve"> City,</w:t>
      </w:r>
      <w:r w:rsidRPr="002644D9">
        <w:rPr>
          <w:rFonts w:cs="Arial"/>
          <w:color w:val="000000" w:themeColor="text1"/>
        </w:rPr>
        <w:t xml:space="preserve"> 102 F.</w:t>
      </w:r>
      <w:r w:rsidR="0065129E" w:rsidRPr="002644D9">
        <w:rPr>
          <w:rFonts w:cs="Arial"/>
          <w:color w:val="000000" w:themeColor="text1"/>
        </w:rPr>
        <w:t xml:space="preserve"> </w:t>
      </w:r>
      <w:r w:rsidRPr="002644D9">
        <w:rPr>
          <w:rFonts w:cs="Arial"/>
          <w:color w:val="000000" w:themeColor="text1"/>
        </w:rPr>
        <w:t>Supp.</w:t>
      </w:r>
      <w:r w:rsidR="0065129E" w:rsidRPr="002644D9">
        <w:rPr>
          <w:rFonts w:cs="Arial"/>
          <w:color w:val="000000" w:themeColor="text1"/>
        </w:rPr>
        <w:t xml:space="preserve"> </w:t>
      </w:r>
      <w:r w:rsidRPr="002644D9">
        <w:rPr>
          <w:rFonts w:cs="Arial"/>
          <w:color w:val="000000" w:themeColor="text1"/>
        </w:rPr>
        <w:t>3d 657, 66</w:t>
      </w:r>
      <w:r w:rsidR="0017059A" w:rsidRPr="002644D9">
        <w:rPr>
          <w:rFonts w:cs="Arial"/>
          <w:color w:val="000000" w:themeColor="text1"/>
        </w:rPr>
        <w:t>6</w:t>
      </w:r>
      <w:r w:rsidRPr="002644D9">
        <w:rPr>
          <w:rFonts w:cs="Arial"/>
          <w:color w:val="000000" w:themeColor="text1"/>
        </w:rPr>
        <w:t xml:space="preserve"> (D.N.J. 2015).</w:t>
      </w:r>
    </w:p>
  </w:footnote>
  <w:footnote w:id="15">
    <w:p w14:paraId="1D98E38F" w14:textId="3ECFBCEF" w:rsidR="008A4FB3" w:rsidRPr="002644D9" w:rsidRDefault="008A4FB3" w:rsidP="004E4C06">
      <w:pPr>
        <w:pStyle w:val="FootnoteText"/>
        <w:rPr>
          <w:rFonts w:cs="Arial"/>
          <w:color w:val="000000" w:themeColor="text1"/>
        </w:rPr>
      </w:pPr>
      <w:r w:rsidRPr="002644D9">
        <w:rPr>
          <w:rStyle w:val="FootnoteReference"/>
          <w:rFonts w:cs="Arial"/>
          <w:color w:val="000000" w:themeColor="text1"/>
        </w:rPr>
        <w:footnoteRef/>
      </w:r>
      <w:r w:rsidRPr="002644D9">
        <w:rPr>
          <w:rFonts w:cs="Arial"/>
          <w:color w:val="000000" w:themeColor="text1"/>
        </w:rPr>
        <w:t xml:space="preserve"> </w:t>
      </w:r>
      <w:r w:rsidRPr="002644D9">
        <w:rPr>
          <w:rFonts w:cs="Arial"/>
          <w:i/>
          <w:color w:val="000000" w:themeColor="text1"/>
        </w:rPr>
        <w:t>Id.</w:t>
      </w:r>
      <w:r w:rsidRPr="002644D9">
        <w:rPr>
          <w:rFonts w:cs="Arial"/>
          <w:color w:val="000000" w:themeColor="text1"/>
        </w:rPr>
        <w:t xml:space="preserve"> § </w:t>
      </w:r>
      <w:r w:rsidR="00F529EB" w:rsidRPr="002644D9">
        <w:rPr>
          <w:rFonts w:cs="Arial"/>
          <w:color w:val="000000" w:themeColor="text1"/>
        </w:rPr>
        <w:t>3011</w:t>
      </w:r>
      <w:r w:rsidRPr="002644D9">
        <w:rPr>
          <w:rFonts w:cs="Arial"/>
          <w:color w:val="000000" w:themeColor="text1"/>
        </w:rPr>
        <w:t xml:space="preserve">.300(b).  An individual is involved in “competitive decision-making” if </w:t>
      </w:r>
      <w:r w:rsidR="002034F6" w:rsidRPr="002644D9">
        <w:rPr>
          <w:rFonts w:cs="Arial"/>
          <w:color w:val="000000" w:themeColor="text1"/>
        </w:rPr>
        <w:t xml:space="preserve">that individual </w:t>
      </w:r>
      <w:r w:rsidRPr="002644D9">
        <w:rPr>
          <w:rFonts w:cs="Arial"/>
          <w:color w:val="000000" w:themeColor="text1"/>
        </w:rPr>
        <w:t xml:space="preserve">“consult[s] on marketing or advertising strategies, pricing, product research and development, product design, or </w:t>
      </w:r>
      <w:r w:rsidR="00A86061" w:rsidRPr="002644D9">
        <w:rPr>
          <w:rFonts w:cs="Arial"/>
          <w:color w:val="000000" w:themeColor="text1"/>
        </w:rPr>
        <w:t xml:space="preserve">the </w:t>
      </w:r>
      <w:r w:rsidRPr="002644D9">
        <w:rPr>
          <w:rFonts w:cs="Arial"/>
          <w:color w:val="000000" w:themeColor="text1"/>
        </w:rPr>
        <w:t xml:space="preserve">competitive structuring and composition of bids, offers or proposals.  </w:t>
      </w:r>
      <w:r w:rsidR="00C12018" w:rsidRPr="002644D9">
        <w:rPr>
          <w:rFonts w:cs="Arial"/>
          <w:color w:val="000000" w:themeColor="text1"/>
        </w:rPr>
        <w:t>[‘Competitive decision-making’]</w:t>
      </w:r>
      <w:r w:rsidRPr="002644D9">
        <w:rPr>
          <w:rFonts w:cs="Arial"/>
          <w:color w:val="000000" w:themeColor="text1"/>
        </w:rPr>
        <w:t xml:space="preserve"> </w:t>
      </w:r>
      <w:r w:rsidRPr="002644D9">
        <w:rPr>
          <w:rFonts w:cs="Arial"/>
          <w:color w:val="000000" w:themeColor="text1"/>
        </w:rPr>
        <w:t xml:space="preserve">does not include rendering legal advice or performing other services that are not directly in furtherance of activities in competition with an individual or entity having a proprietary interest in the protected material.”  </w:t>
      </w:r>
      <w:r w:rsidRPr="002644D9">
        <w:rPr>
          <w:rFonts w:cs="Arial"/>
          <w:i/>
          <w:color w:val="000000" w:themeColor="text1"/>
        </w:rPr>
        <w:t>Id.</w:t>
      </w:r>
    </w:p>
  </w:footnote>
  <w:footnote w:id="16">
    <w:p w14:paraId="0D5EB773" w14:textId="208AC401" w:rsidR="00D24BBB" w:rsidRPr="002644D9" w:rsidRDefault="00836D1E" w:rsidP="004E4C06">
      <w:pPr>
        <w:pStyle w:val="FootnoteText"/>
        <w:rPr>
          <w:rFonts w:cs="Arial"/>
          <w:color w:val="000000" w:themeColor="text1"/>
        </w:rPr>
      </w:pPr>
      <w:r w:rsidRPr="002644D9">
        <w:rPr>
          <w:rStyle w:val="FootnoteReference"/>
          <w:rFonts w:cs="Arial"/>
          <w:color w:val="000000" w:themeColor="text1"/>
        </w:rPr>
        <w:footnoteRef/>
      </w:r>
      <w:r w:rsidR="00D523ED" w:rsidRPr="002644D9">
        <w:rPr>
          <w:rFonts w:cs="Arial"/>
          <w:color w:val="000000" w:themeColor="text1"/>
        </w:rPr>
        <w:t xml:space="preserve"> </w:t>
      </w:r>
      <w:r w:rsidRPr="002644D9">
        <w:rPr>
          <w:rFonts w:cs="Arial"/>
          <w:color w:val="000000" w:themeColor="text1"/>
        </w:rPr>
        <w:t xml:space="preserve">Motion </w:t>
      </w:r>
      <w:r w:rsidR="00D24BBB" w:rsidRPr="002644D9">
        <w:rPr>
          <w:rFonts w:cs="Arial"/>
          <w:color w:val="000000" w:themeColor="text1"/>
        </w:rPr>
        <w:t>at 1.</w:t>
      </w:r>
    </w:p>
  </w:footnote>
  <w:footnote w:id="17">
    <w:p w14:paraId="05B069BC" w14:textId="77777777" w:rsidR="00537606" w:rsidRPr="002644D9" w:rsidRDefault="00836D1E" w:rsidP="004E4C06">
      <w:pPr>
        <w:pStyle w:val="FootnoteText"/>
        <w:rPr>
          <w:rFonts w:cs="Arial"/>
          <w:color w:val="000000" w:themeColor="text1"/>
        </w:rPr>
      </w:pPr>
      <w:r w:rsidRPr="002644D9">
        <w:rPr>
          <w:rStyle w:val="FootnoteReference"/>
          <w:rFonts w:cs="Arial"/>
          <w:color w:val="000000" w:themeColor="text1"/>
        </w:rPr>
        <w:footnoteRef/>
      </w:r>
      <w:r w:rsidRPr="002644D9">
        <w:rPr>
          <w:rFonts w:cs="Arial"/>
          <w:color w:val="000000" w:themeColor="text1"/>
        </w:rPr>
        <w:t xml:space="preserve"> </w:t>
      </w:r>
      <w:r w:rsidR="00CD7195" w:rsidRPr="002644D9">
        <w:rPr>
          <w:rFonts w:cs="Arial"/>
          <w:i/>
          <w:color w:val="000000" w:themeColor="text1"/>
        </w:rPr>
        <w:t xml:space="preserve">Id. </w:t>
      </w:r>
      <w:r w:rsidR="00D24BBB" w:rsidRPr="002644D9">
        <w:rPr>
          <w:rFonts w:cs="Arial"/>
          <w:color w:val="000000" w:themeColor="text1"/>
        </w:rPr>
        <w:t>at 2.</w:t>
      </w:r>
    </w:p>
  </w:footnote>
  <w:footnote w:id="18">
    <w:p w14:paraId="5BD4F230" w14:textId="0696FAA8" w:rsidR="00836D1E" w:rsidRPr="002644D9" w:rsidRDefault="00836D1E" w:rsidP="004E4C06">
      <w:pPr>
        <w:pStyle w:val="FootnoteText"/>
        <w:rPr>
          <w:rFonts w:cs="Arial"/>
          <w:color w:val="000000" w:themeColor="text1"/>
        </w:rPr>
      </w:pPr>
      <w:r w:rsidRPr="002644D9">
        <w:rPr>
          <w:rStyle w:val="FootnoteReference"/>
          <w:rFonts w:cs="Arial"/>
          <w:color w:val="000000" w:themeColor="text1"/>
        </w:rPr>
        <w:footnoteRef/>
      </w:r>
      <w:r w:rsidRPr="002644D9">
        <w:rPr>
          <w:rFonts w:cs="Arial"/>
          <w:color w:val="000000" w:themeColor="text1"/>
        </w:rPr>
        <w:t xml:space="preserve"> </w:t>
      </w:r>
      <w:r w:rsidR="00D523ED" w:rsidRPr="002644D9">
        <w:rPr>
          <w:rFonts w:cs="Arial"/>
          <w:i/>
          <w:color w:val="000000" w:themeColor="text1"/>
        </w:rPr>
        <w:t xml:space="preserve">Id. </w:t>
      </w:r>
      <w:r w:rsidR="00D523ED" w:rsidRPr="002644D9">
        <w:rPr>
          <w:color w:val="000000" w:themeColor="text1"/>
        </w:rPr>
        <w:t xml:space="preserve">Exhibit 1; </w:t>
      </w:r>
      <w:r w:rsidR="008B3CC8" w:rsidRPr="002644D9">
        <w:rPr>
          <w:color w:val="000000" w:themeColor="text1"/>
        </w:rPr>
        <w:t xml:space="preserve">Motion, </w:t>
      </w:r>
      <w:r w:rsidR="00D523ED" w:rsidRPr="002644D9">
        <w:rPr>
          <w:color w:val="000000" w:themeColor="text1"/>
        </w:rPr>
        <w:t>Appendix A to Part 3011.</w:t>
      </w:r>
    </w:p>
  </w:footnote>
  <w:footnote w:id="19">
    <w:p w14:paraId="1E0DA827" w14:textId="55FF4D3F" w:rsidR="00CC2D8B" w:rsidRPr="002644D9" w:rsidRDefault="00CC2D8B" w:rsidP="004E4C06">
      <w:pPr>
        <w:pStyle w:val="FootnoteText"/>
        <w:rPr>
          <w:color w:val="000000" w:themeColor="text1"/>
        </w:rPr>
      </w:pPr>
      <w:r w:rsidRPr="002644D9">
        <w:rPr>
          <w:rStyle w:val="FootnoteReference"/>
          <w:color w:val="000000" w:themeColor="text1"/>
        </w:rPr>
        <w:footnoteRef/>
      </w:r>
      <w:r w:rsidRPr="002644D9">
        <w:rPr>
          <w:color w:val="000000" w:themeColor="text1"/>
        </w:rPr>
        <w:t xml:space="preserve"> </w:t>
      </w:r>
      <w:r w:rsidRPr="002644D9">
        <w:rPr>
          <w:rFonts w:cs="Arial"/>
          <w:color w:val="000000" w:themeColor="text1"/>
        </w:rPr>
        <w:t xml:space="preserve">Motion at 2.  </w:t>
      </w:r>
      <w:r w:rsidR="00FE0EB8" w:rsidRPr="002644D9">
        <w:rPr>
          <w:rFonts w:cs="Arial"/>
          <w:color w:val="000000" w:themeColor="text1"/>
        </w:rPr>
        <w:t>T</w:t>
      </w:r>
      <w:r w:rsidRPr="002644D9">
        <w:rPr>
          <w:color w:val="000000" w:themeColor="text1"/>
        </w:rPr>
        <w:t xml:space="preserve">he Postal Service </w:t>
      </w:r>
      <w:r w:rsidR="00E33A5E" w:rsidRPr="002644D9">
        <w:rPr>
          <w:color w:val="000000" w:themeColor="text1"/>
        </w:rPr>
        <w:t>does not contest</w:t>
      </w:r>
      <w:r w:rsidRPr="002644D9">
        <w:rPr>
          <w:color w:val="000000" w:themeColor="text1"/>
        </w:rPr>
        <w:t xml:space="preserve"> </w:t>
      </w:r>
      <w:r w:rsidR="00423566" w:rsidRPr="002644D9">
        <w:rPr>
          <w:color w:val="000000" w:themeColor="text1"/>
        </w:rPr>
        <w:t xml:space="preserve">the </w:t>
      </w:r>
      <w:r w:rsidR="00D24EFE" w:rsidRPr="002644D9">
        <w:rPr>
          <w:color w:val="000000" w:themeColor="text1"/>
        </w:rPr>
        <w:t xml:space="preserve">relevance of the </w:t>
      </w:r>
      <w:r w:rsidR="00423566" w:rsidRPr="002644D9">
        <w:rPr>
          <w:color w:val="000000" w:themeColor="text1"/>
        </w:rPr>
        <w:t xml:space="preserve">requested library references to the instant proceeding nor </w:t>
      </w:r>
      <w:r w:rsidRPr="002644D9">
        <w:rPr>
          <w:color w:val="000000" w:themeColor="text1"/>
        </w:rPr>
        <w:t>UPS</w:t>
      </w:r>
      <w:r w:rsidR="00D24EFE" w:rsidRPr="002644D9">
        <w:rPr>
          <w:color w:val="000000" w:themeColor="text1"/>
        </w:rPr>
        <w:t xml:space="preserve">’s </w:t>
      </w:r>
      <w:r w:rsidR="00D10E78" w:rsidRPr="002644D9">
        <w:rPr>
          <w:color w:val="000000" w:themeColor="text1"/>
        </w:rPr>
        <w:t xml:space="preserve">articulation of its </w:t>
      </w:r>
      <w:r w:rsidRPr="002644D9">
        <w:rPr>
          <w:color w:val="000000" w:themeColor="text1"/>
        </w:rPr>
        <w:t xml:space="preserve">need to access the requested library references to participate in the instant proceeding.  </w:t>
      </w:r>
      <w:r w:rsidR="00A61079" w:rsidRPr="002644D9">
        <w:rPr>
          <w:i/>
          <w:iCs/>
          <w:color w:val="000000" w:themeColor="text1"/>
        </w:rPr>
        <w:t xml:space="preserve">See </w:t>
      </w:r>
      <w:r w:rsidR="00CC19F2" w:rsidRPr="002644D9">
        <w:rPr>
          <w:i/>
          <w:iCs/>
          <w:color w:val="000000" w:themeColor="text1"/>
        </w:rPr>
        <w:t>generally</w:t>
      </w:r>
      <w:r w:rsidR="00CC19F2" w:rsidRPr="002644D9">
        <w:rPr>
          <w:color w:val="000000" w:themeColor="text1"/>
        </w:rPr>
        <w:t xml:space="preserve"> Postal Service Response.</w:t>
      </w:r>
    </w:p>
  </w:footnote>
  <w:footnote w:id="20">
    <w:p w14:paraId="4E1EE573" w14:textId="52A15FEE" w:rsidR="00100055" w:rsidRPr="002644D9" w:rsidRDefault="00100055" w:rsidP="004E4C06">
      <w:pPr>
        <w:pStyle w:val="FootnoteText"/>
        <w:rPr>
          <w:rFonts w:cs="Arial"/>
          <w:color w:val="000000" w:themeColor="text1"/>
        </w:rPr>
      </w:pPr>
      <w:r w:rsidRPr="002644D9">
        <w:rPr>
          <w:rStyle w:val="FootnoteReference"/>
          <w:rFonts w:cs="Arial"/>
          <w:color w:val="000000" w:themeColor="text1"/>
        </w:rPr>
        <w:footnoteRef/>
      </w:r>
      <w:r w:rsidRPr="002644D9">
        <w:rPr>
          <w:rFonts w:cs="Arial"/>
          <w:color w:val="000000" w:themeColor="text1"/>
        </w:rPr>
        <w:t xml:space="preserve"> Docket No. RM2016-10, Order Granting Motion for Access to Non-Public Materials Filed Under Seal, October 11, 2016, at 4 (Order No. 3560).  In Order No. 3560, the Commission granted UPS access to information filed under seal, which included third</w:t>
      </w:r>
      <w:r w:rsidR="00EB1285" w:rsidRPr="002644D9">
        <w:rPr>
          <w:rFonts w:cs="Arial"/>
          <w:color w:val="000000" w:themeColor="text1"/>
        </w:rPr>
        <w:t>-</w:t>
      </w:r>
      <w:r w:rsidRPr="002644D9">
        <w:rPr>
          <w:rFonts w:cs="Arial"/>
          <w:color w:val="000000" w:themeColor="text1"/>
        </w:rPr>
        <w:t xml:space="preserve">party information, on the condition that the parties first file an agreement regarding inadvertent disclosure.  </w:t>
      </w:r>
      <w:r w:rsidR="003A3AEE" w:rsidRPr="002644D9">
        <w:rPr>
          <w:rFonts w:cs="Arial"/>
          <w:i/>
          <w:iCs/>
          <w:color w:val="000000" w:themeColor="text1"/>
        </w:rPr>
        <w:t>Id.</w:t>
      </w:r>
      <w:r w:rsidRPr="002644D9">
        <w:rPr>
          <w:rFonts w:cs="Arial"/>
          <w:color w:val="000000" w:themeColor="text1"/>
        </w:rPr>
        <w:t xml:space="preserve"> at 4-5.  </w:t>
      </w:r>
      <w:r w:rsidR="008C5453" w:rsidRPr="002644D9">
        <w:rPr>
          <w:rFonts w:cs="Arial"/>
          <w:color w:val="000000" w:themeColor="text1"/>
        </w:rPr>
        <w:t xml:space="preserve">In a later rulemaking, the Commission added the provision clarifying the rights of any aggrieved third party to seek all available remedies before the Commission or </w:t>
      </w:r>
      <w:r w:rsidR="00606804" w:rsidRPr="002644D9">
        <w:rPr>
          <w:rFonts w:cs="Arial"/>
          <w:color w:val="000000" w:themeColor="text1"/>
        </w:rPr>
        <w:t xml:space="preserve">a </w:t>
      </w:r>
      <w:r w:rsidR="008C5453" w:rsidRPr="002644D9">
        <w:rPr>
          <w:rFonts w:cs="Arial"/>
          <w:color w:val="000000" w:themeColor="text1"/>
        </w:rPr>
        <w:t xml:space="preserve">court of law, thereby alleviating the need for any additional agreements between parties.  </w:t>
      </w:r>
      <w:r w:rsidR="008C5453" w:rsidRPr="002644D9">
        <w:rPr>
          <w:rFonts w:cs="Arial"/>
          <w:i/>
          <w:color w:val="000000" w:themeColor="text1"/>
        </w:rPr>
        <w:t>See</w:t>
      </w:r>
      <w:r w:rsidR="008C5453" w:rsidRPr="002644D9">
        <w:rPr>
          <w:rFonts w:cs="Arial"/>
          <w:color w:val="000000" w:themeColor="text1"/>
        </w:rPr>
        <w:t xml:space="preserve"> Order No. </w:t>
      </w:r>
      <w:r w:rsidR="00E52F90" w:rsidRPr="002644D9">
        <w:rPr>
          <w:rFonts w:cs="Arial"/>
          <w:color w:val="000000" w:themeColor="text1"/>
        </w:rPr>
        <w:t>4679</w:t>
      </w:r>
      <w:r w:rsidR="00093D83" w:rsidRPr="002644D9">
        <w:rPr>
          <w:rFonts w:cs="Arial"/>
          <w:color w:val="000000" w:themeColor="text1"/>
        </w:rPr>
        <w:t xml:space="preserve"> at 69-70.</w:t>
      </w:r>
    </w:p>
  </w:footnote>
  <w:footnote w:id="21">
    <w:p w14:paraId="00B8E677" w14:textId="3FC91C33" w:rsidR="00844ACC" w:rsidRPr="002644D9" w:rsidRDefault="00844ACC" w:rsidP="004E4C06">
      <w:pPr>
        <w:pStyle w:val="FootnoteText"/>
        <w:rPr>
          <w:color w:val="000000" w:themeColor="text1"/>
        </w:rPr>
      </w:pPr>
      <w:r w:rsidRPr="002644D9">
        <w:rPr>
          <w:rStyle w:val="FootnoteReference"/>
          <w:color w:val="000000" w:themeColor="text1"/>
        </w:rPr>
        <w:footnoteRef/>
      </w:r>
      <w:r w:rsidRPr="002644D9">
        <w:rPr>
          <w:color w:val="000000" w:themeColor="text1"/>
        </w:rPr>
        <w:t xml:space="preserve"> Docket No. ACR201</w:t>
      </w:r>
      <w:r w:rsidR="008F1F1D" w:rsidRPr="002644D9">
        <w:rPr>
          <w:color w:val="000000" w:themeColor="text1"/>
        </w:rPr>
        <w:t>9</w:t>
      </w:r>
      <w:r w:rsidRPr="002644D9">
        <w:rPr>
          <w:color w:val="000000" w:themeColor="text1"/>
        </w:rPr>
        <w:t xml:space="preserve">, Order Granting Motion for Access, </w:t>
      </w:r>
      <w:r w:rsidR="008F1F1D" w:rsidRPr="002644D9">
        <w:rPr>
          <w:color w:val="000000" w:themeColor="text1"/>
        </w:rPr>
        <w:t>January 29, 202</w:t>
      </w:r>
      <w:r w:rsidR="00484715" w:rsidRPr="002644D9">
        <w:rPr>
          <w:color w:val="000000" w:themeColor="text1"/>
        </w:rPr>
        <w:t>0</w:t>
      </w:r>
      <w:r w:rsidR="008F1F1D" w:rsidRPr="002644D9">
        <w:rPr>
          <w:color w:val="000000" w:themeColor="text1"/>
        </w:rPr>
        <w:t xml:space="preserve"> (Order No. 5416).</w:t>
      </w:r>
      <w:r w:rsidR="00DA0C72" w:rsidRPr="002644D9">
        <w:rPr>
          <w:color w:val="000000" w:themeColor="text1"/>
        </w:rPr>
        <w:t xml:space="preserve">  Similar </w:t>
      </w:r>
      <w:r w:rsidR="002D5305" w:rsidRPr="002644D9">
        <w:rPr>
          <w:color w:val="000000" w:themeColor="text1"/>
        </w:rPr>
        <w:t xml:space="preserve">arguments have been rejected </w:t>
      </w:r>
      <w:r w:rsidR="00676DE7" w:rsidRPr="002644D9">
        <w:rPr>
          <w:color w:val="000000" w:themeColor="text1"/>
        </w:rPr>
        <w:t xml:space="preserve">in </w:t>
      </w:r>
      <w:r w:rsidR="007A3010" w:rsidRPr="002644D9">
        <w:rPr>
          <w:color w:val="000000" w:themeColor="text1"/>
        </w:rPr>
        <w:t>other dockets</w:t>
      </w:r>
      <w:r w:rsidR="00676DE7" w:rsidRPr="002644D9">
        <w:rPr>
          <w:color w:val="000000" w:themeColor="text1"/>
        </w:rPr>
        <w:t xml:space="preserve">.  </w:t>
      </w:r>
      <w:r w:rsidR="003A0785" w:rsidRPr="002644D9">
        <w:rPr>
          <w:color w:val="000000" w:themeColor="text1"/>
        </w:rPr>
        <w:t>Docket No. ACR2018, Order Granting Motions for Access, February 8, 2019</w:t>
      </w:r>
      <w:r w:rsidR="0030632E" w:rsidRPr="002644D9">
        <w:rPr>
          <w:color w:val="000000" w:themeColor="text1"/>
        </w:rPr>
        <w:t>, at 19</w:t>
      </w:r>
      <w:r w:rsidR="003A0785" w:rsidRPr="002644D9">
        <w:rPr>
          <w:color w:val="000000" w:themeColor="text1"/>
        </w:rPr>
        <w:t xml:space="preserve"> (Order No. 4998)</w:t>
      </w:r>
      <w:r w:rsidR="00C970F3" w:rsidRPr="002644D9">
        <w:rPr>
          <w:color w:val="000000" w:themeColor="text1"/>
        </w:rPr>
        <w:t xml:space="preserve">; </w:t>
      </w:r>
      <w:r w:rsidR="00866060" w:rsidRPr="002644D9">
        <w:rPr>
          <w:color w:val="000000" w:themeColor="text1"/>
        </w:rPr>
        <w:t xml:space="preserve">Docket No. </w:t>
      </w:r>
      <w:r w:rsidR="009C49EF" w:rsidRPr="002644D9">
        <w:rPr>
          <w:color w:val="000000" w:themeColor="text1"/>
        </w:rPr>
        <w:t>ACR2020, Order Granting Motion for Access, January 28, 2021</w:t>
      </w:r>
      <w:r w:rsidR="0012237A" w:rsidRPr="002644D9">
        <w:rPr>
          <w:color w:val="000000" w:themeColor="text1"/>
        </w:rPr>
        <w:t>, at 10</w:t>
      </w:r>
      <w:r w:rsidR="009C49EF" w:rsidRPr="002644D9">
        <w:rPr>
          <w:color w:val="000000" w:themeColor="text1"/>
        </w:rPr>
        <w:t xml:space="preserve"> (Order No. 5829)</w:t>
      </w:r>
      <w:r w:rsidR="0012237A" w:rsidRPr="002644D9">
        <w:rPr>
          <w:color w:val="000000" w:themeColor="text1"/>
        </w:rPr>
        <w:t>; Docket No. ACR2021,</w:t>
      </w:r>
      <w:r w:rsidR="00671D83" w:rsidRPr="002644D9">
        <w:rPr>
          <w:color w:val="000000" w:themeColor="text1"/>
        </w:rPr>
        <w:t xml:space="preserve"> Order Granting Motion for Access, </w:t>
      </w:r>
      <w:r w:rsidR="00485D6F" w:rsidRPr="002644D9">
        <w:rPr>
          <w:color w:val="000000" w:themeColor="text1"/>
        </w:rPr>
        <w:t>February 1, 2022</w:t>
      </w:r>
      <w:r w:rsidR="00671D83" w:rsidRPr="002644D9">
        <w:rPr>
          <w:color w:val="000000" w:themeColor="text1"/>
        </w:rPr>
        <w:t xml:space="preserve">, at 10 (Order No. </w:t>
      </w:r>
      <w:r w:rsidR="00537878" w:rsidRPr="002644D9">
        <w:rPr>
          <w:color w:val="000000" w:themeColor="text1"/>
        </w:rPr>
        <w:t>6098</w:t>
      </w:r>
      <w:r w:rsidR="00671D83" w:rsidRPr="002644D9">
        <w:rPr>
          <w:color w:val="000000" w:themeColor="text1"/>
        </w:rPr>
        <w:t>)</w:t>
      </w:r>
      <w:r w:rsidR="003A0785" w:rsidRPr="002644D9">
        <w:rPr>
          <w:color w:val="000000" w:themeColor="text1"/>
        </w:rPr>
        <w:t>.</w:t>
      </w:r>
    </w:p>
  </w:footnote>
  <w:footnote w:id="22">
    <w:p w14:paraId="506E0ADE" w14:textId="77777777" w:rsidR="00836D1E" w:rsidRPr="002644D9" w:rsidRDefault="00836D1E" w:rsidP="004E4C06">
      <w:pPr>
        <w:pStyle w:val="FootnoteText"/>
        <w:rPr>
          <w:rFonts w:cs="Arial"/>
          <w:color w:val="000000" w:themeColor="text1"/>
        </w:rPr>
      </w:pPr>
      <w:r w:rsidRPr="002644D9">
        <w:rPr>
          <w:rStyle w:val="FootnoteReference"/>
          <w:rFonts w:cs="Arial"/>
          <w:color w:val="000000" w:themeColor="text1"/>
        </w:rPr>
        <w:footnoteRef/>
      </w:r>
      <w:r w:rsidRPr="002644D9">
        <w:rPr>
          <w:rFonts w:cs="Arial"/>
          <w:color w:val="000000" w:themeColor="text1"/>
        </w:rPr>
        <w:t xml:space="preserve"> </w:t>
      </w:r>
      <w:r w:rsidRPr="002644D9">
        <w:rPr>
          <w:rFonts w:cs="Arial"/>
          <w:i/>
          <w:color w:val="000000" w:themeColor="text1"/>
        </w:rPr>
        <w:t xml:space="preserve">See </w:t>
      </w:r>
      <w:r w:rsidR="00C920AF" w:rsidRPr="002644D9">
        <w:rPr>
          <w:rFonts w:cs="Arial"/>
          <w:color w:val="000000" w:themeColor="text1"/>
        </w:rPr>
        <w:t>Order No. 4403 at 9;</w:t>
      </w:r>
      <w:r w:rsidR="00C920AF" w:rsidRPr="002644D9">
        <w:rPr>
          <w:rFonts w:cs="Arial"/>
          <w:i/>
          <w:color w:val="000000" w:themeColor="text1"/>
        </w:rPr>
        <w:t xml:space="preserve"> </w:t>
      </w:r>
      <w:r w:rsidRPr="002644D9">
        <w:rPr>
          <w:rFonts w:cs="Arial"/>
          <w:color w:val="000000" w:themeColor="text1"/>
        </w:rPr>
        <w:t>Docket No. RM2008-1, Notice of Proposed Rulemaking to Establish a Procedure for According Appropriate Confidentiality, August 13, 2008, at 7 (Order No. 96).</w:t>
      </w:r>
    </w:p>
  </w:footnote>
  <w:footnote w:id="23">
    <w:p w14:paraId="28A3C3DD" w14:textId="16CEF2E4" w:rsidR="00426C15" w:rsidRPr="002644D9" w:rsidRDefault="00426C15" w:rsidP="004E4C06">
      <w:pPr>
        <w:pStyle w:val="FootnoteText"/>
        <w:rPr>
          <w:rFonts w:cs="Arial"/>
          <w:color w:val="000000" w:themeColor="text1"/>
        </w:rPr>
      </w:pPr>
      <w:r w:rsidRPr="002644D9">
        <w:rPr>
          <w:rStyle w:val="FootnoteReference"/>
          <w:rFonts w:cs="Arial"/>
          <w:color w:val="000000" w:themeColor="text1"/>
        </w:rPr>
        <w:footnoteRef/>
      </w:r>
      <w:r w:rsidRPr="002644D9">
        <w:rPr>
          <w:rFonts w:cs="Arial"/>
          <w:color w:val="000000" w:themeColor="text1"/>
        </w:rPr>
        <w:t xml:space="preserve"> </w:t>
      </w:r>
      <w:r w:rsidRPr="002644D9">
        <w:rPr>
          <w:rFonts w:cs="Arial"/>
          <w:i/>
          <w:color w:val="000000" w:themeColor="text1"/>
        </w:rPr>
        <w:t>Id.</w:t>
      </w:r>
      <w:r w:rsidRPr="002644D9">
        <w:rPr>
          <w:rFonts w:cs="Arial"/>
          <w:color w:val="000000" w:themeColor="text1"/>
        </w:rPr>
        <w:t xml:space="preserve">  This is consistent with </w:t>
      </w:r>
      <w:r w:rsidR="006D4FFC" w:rsidRPr="002644D9">
        <w:rPr>
          <w:rFonts w:cs="Arial"/>
          <w:color w:val="000000" w:themeColor="text1"/>
        </w:rPr>
        <w:t>F</w:t>
      </w:r>
      <w:r w:rsidRPr="002644D9">
        <w:rPr>
          <w:rFonts w:cs="Arial"/>
          <w:color w:val="000000" w:themeColor="text1"/>
        </w:rPr>
        <w:t xml:space="preserve">ederal court restrictions on access to highly confidential information to independent outside counsel.  </w:t>
      </w:r>
      <w:r w:rsidRPr="002644D9">
        <w:rPr>
          <w:rFonts w:cs="Arial"/>
          <w:i/>
          <w:color w:val="000000" w:themeColor="text1"/>
        </w:rPr>
        <w:t>See, e.g.</w:t>
      </w:r>
      <w:r w:rsidRPr="002644D9">
        <w:rPr>
          <w:rFonts w:cs="Arial"/>
          <w:color w:val="000000" w:themeColor="text1"/>
        </w:rPr>
        <w:t>,</w:t>
      </w:r>
      <w:r w:rsidRPr="002644D9">
        <w:rPr>
          <w:rFonts w:cs="Arial"/>
          <w:i/>
          <w:color w:val="000000" w:themeColor="text1"/>
        </w:rPr>
        <w:t xml:space="preserve"> W. </w:t>
      </w:r>
      <w:r w:rsidR="00375E13" w:rsidRPr="002644D9">
        <w:rPr>
          <w:rFonts w:cs="Arial"/>
          <w:i/>
          <w:color w:val="000000" w:themeColor="text1"/>
        </w:rPr>
        <w:t>Convenience</w:t>
      </w:r>
      <w:r w:rsidRPr="002644D9">
        <w:rPr>
          <w:rFonts w:cs="Arial"/>
          <w:i/>
          <w:color w:val="000000" w:themeColor="text1"/>
        </w:rPr>
        <w:t xml:space="preserve"> Stores, Inc. v. Suncor Energy (U.S.A.) Inc.</w:t>
      </w:r>
      <w:r w:rsidRPr="002644D9">
        <w:rPr>
          <w:rFonts w:cs="Arial"/>
          <w:color w:val="000000" w:themeColor="text1"/>
        </w:rPr>
        <w:t>, No. 11-CV-01611, 2014 WL 561850, at *1 (D. Colo. Feb. 13, 2014) (“During discovery, [the non-party competitor’s] interest was addressed by a protective order that entitled Western’s counsel and retained experts to view [the non-party competitor’s] wholesale purchase and retail sales information, but forbade the recipients of the information from sharing it with</w:t>
      </w:r>
      <w:r w:rsidR="00FC7EB0" w:rsidRPr="002644D9">
        <w:rPr>
          <w:rFonts w:cs="Arial"/>
          <w:color w:val="000000" w:themeColor="text1"/>
        </w:rPr>
        <w:t xml:space="preserve"> [the plaintiff’s owner]</w:t>
      </w:r>
      <w:r w:rsidR="00A26E5E" w:rsidRPr="002644D9">
        <w:rPr>
          <w:rFonts w:cs="Arial"/>
          <w:color w:val="000000" w:themeColor="text1"/>
        </w:rPr>
        <w:t> </w:t>
      </w:r>
      <w:r w:rsidR="00FC7EB0" w:rsidRPr="002644D9">
        <w:rPr>
          <w:rFonts w:cs="Arial"/>
          <w:color w:val="000000" w:themeColor="text1"/>
        </w:rPr>
        <w:t>….</w:t>
      </w:r>
      <w:r w:rsidRPr="002644D9">
        <w:rPr>
          <w:rFonts w:cs="Arial"/>
          <w:color w:val="000000" w:themeColor="text1"/>
        </w:rPr>
        <w:t>”).</w:t>
      </w:r>
    </w:p>
  </w:footnote>
  <w:footnote w:id="24">
    <w:p w14:paraId="2D9DB2BA" w14:textId="2D855571" w:rsidR="008B0CDB" w:rsidRPr="002644D9" w:rsidRDefault="008B0CDB" w:rsidP="004E4C06">
      <w:pPr>
        <w:pStyle w:val="FootnoteText"/>
        <w:rPr>
          <w:rFonts w:cs="Arial"/>
          <w:color w:val="000000" w:themeColor="text1"/>
        </w:rPr>
      </w:pPr>
      <w:r w:rsidRPr="002644D9">
        <w:rPr>
          <w:rStyle w:val="FootnoteReference"/>
          <w:rFonts w:cs="Arial"/>
          <w:color w:val="000000" w:themeColor="text1"/>
        </w:rPr>
        <w:footnoteRef/>
      </w:r>
      <w:r w:rsidRPr="002644D9">
        <w:rPr>
          <w:rFonts w:cs="Arial"/>
          <w:color w:val="000000" w:themeColor="text1"/>
        </w:rPr>
        <w:t xml:space="preserve"> The </w:t>
      </w:r>
      <w:r w:rsidR="00DB15D7" w:rsidRPr="002644D9">
        <w:rPr>
          <w:rFonts w:cs="Arial"/>
          <w:color w:val="000000" w:themeColor="text1"/>
        </w:rPr>
        <w:t xml:space="preserve">United States </w:t>
      </w:r>
      <w:r w:rsidRPr="002644D9">
        <w:rPr>
          <w:rFonts w:cs="Arial"/>
          <w:color w:val="000000" w:themeColor="text1"/>
        </w:rPr>
        <w:t xml:space="preserve">Supreme Court acknowledged that even when confidential commercial information is at issue, “orders </w:t>
      </w:r>
      <w:r w:rsidR="00DC64A5" w:rsidRPr="002644D9">
        <w:rPr>
          <w:rFonts w:cs="Arial"/>
          <w:color w:val="000000" w:themeColor="text1"/>
        </w:rPr>
        <w:t>forbidding any disclosure</w:t>
      </w:r>
      <w:r w:rsidR="00A26E5E" w:rsidRPr="002644D9">
        <w:rPr>
          <w:rFonts w:cs="Arial"/>
          <w:color w:val="000000" w:themeColor="text1"/>
        </w:rPr>
        <w:t> </w:t>
      </w:r>
      <w:r w:rsidR="00DC64A5" w:rsidRPr="002644D9">
        <w:rPr>
          <w:rFonts w:cs="Arial"/>
          <w:color w:val="000000" w:themeColor="text1"/>
        </w:rPr>
        <w:t>…</w:t>
      </w:r>
      <w:r w:rsidR="00A26E5E" w:rsidRPr="002644D9">
        <w:rPr>
          <w:rFonts w:cs="Arial"/>
          <w:color w:val="000000" w:themeColor="text1"/>
        </w:rPr>
        <w:t> </w:t>
      </w:r>
      <w:r w:rsidRPr="002644D9">
        <w:rPr>
          <w:rFonts w:cs="Arial"/>
          <w:color w:val="000000" w:themeColor="text1"/>
        </w:rPr>
        <w:t xml:space="preserve">are rare.”  </w:t>
      </w:r>
      <w:r w:rsidRPr="002644D9">
        <w:rPr>
          <w:rFonts w:cs="Arial"/>
          <w:i/>
          <w:iCs/>
          <w:color w:val="000000" w:themeColor="text1"/>
        </w:rPr>
        <w:t>Fed</w:t>
      </w:r>
      <w:r w:rsidR="005D30A8" w:rsidRPr="002644D9">
        <w:rPr>
          <w:rFonts w:cs="Arial"/>
          <w:i/>
          <w:iCs/>
          <w:color w:val="000000" w:themeColor="text1"/>
        </w:rPr>
        <w:t>.</w:t>
      </w:r>
      <w:r w:rsidRPr="002644D9">
        <w:rPr>
          <w:rFonts w:cs="Arial"/>
          <w:i/>
          <w:iCs/>
          <w:color w:val="000000" w:themeColor="text1"/>
        </w:rPr>
        <w:t xml:space="preserve"> Open </w:t>
      </w:r>
      <w:r w:rsidR="000664DA" w:rsidRPr="002644D9">
        <w:rPr>
          <w:rFonts w:cs="Arial"/>
          <w:i/>
          <w:iCs/>
          <w:color w:val="000000" w:themeColor="text1"/>
        </w:rPr>
        <w:t>Mkt.</w:t>
      </w:r>
      <w:r w:rsidRPr="002644D9">
        <w:rPr>
          <w:rFonts w:cs="Arial"/>
          <w:i/>
          <w:iCs/>
          <w:color w:val="000000" w:themeColor="text1"/>
        </w:rPr>
        <w:t xml:space="preserve"> Comm</w:t>
      </w:r>
      <w:r w:rsidR="005D30A8" w:rsidRPr="002644D9">
        <w:rPr>
          <w:rFonts w:cs="Arial"/>
          <w:i/>
          <w:iCs/>
          <w:color w:val="000000" w:themeColor="text1"/>
        </w:rPr>
        <w:t>.</w:t>
      </w:r>
      <w:r w:rsidRPr="002644D9">
        <w:rPr>
          <w:rFonts w:cs="Arial"/>
          <w:i/>
          <w:iCs/>
          <w:color w:val="000000" w:themeColor="text1"/>
        </w:rPr>
        <w:t xml:space="preserve"> v. Merrill</w:t>
      </w:r>
      <w:r w:rsidRPr="002644D9">
        <w:rPr>
          <w:rFonts w:cs="Arial"/>
          <w:iCs/>
          <w:color w:val="000000" w:themeColor="text1"/>
        </w:rPr>
        <w:t>, 443 U.S. 340, 362 n.24 (1979).  The Commission’s rules are akin to an “attorney</w:t>
      </w:r>
      <w:r w:rsidR="003E7819" w:rsidRPr="002644D9">
        <w:rPr>
          <w:rFonts w:cs="Arial"/>
          <w:iCs/>
          <w:color w:val="000000" w:themeColor="text1"/>
        </w:rPr>
        <w:t>’s</w:t>
      </w:r>
      <w:r w:rsidRPr="002644D9">
        <w:rPr>
          <w:rFonts w:cs="Arial"/>
          <w:iCs/>
          <w:color w:val="000000" w:themeColor="text1"/>
        </w:rPr>
        <w:t xml:space="preserve"> eyes only” protective order, commonly issued </w:t>
      </w:r>
      <w:r w:rsidR="00C25576" w:rsidRPr="002644D9">
        <w:rPr>
          <w:rFonts w:cs="Arial"/>
          <w:iCs/>
          <w:color w:val="000000" w:themeColor="text1"/>
        </w:rPr>
        <w:t>by</w:t>
      </w:r>
      <w:r w:rsidRPr="002644D9">
        <w:rPr>
          <w:rFonts w:cs="Arial"/>
          <w:iCs/>
          <w:color w:val="000000" w:themeColor="text1"/>
        </w:rPr>
        <w:t xml:space="preserve"> trial courts.</w:t>
      </w:r>
      <w:r w:rsidR="006C1DAE" w:rsidRPr="002644D9">
        <w:rPr>
          <w:rFonts w:cs="Arial"/>
          <w:iCs/>
          <w:color w:val="000000" w:themeColor="text1"/>
        </w:rPr>
        <w:t xml:space="preserve"> </w:t>
      </w:r>
      <w:r w:rsidRPr="002644D9">
        <w:rPr>
          <w:rFonts w:cs="Arial"/>
          <w:color w:val="000000" w:themeColor="text1"/>
        </w:rPr>
        <w:t xml:space="preserve"> </w:t>
      </w:r>
      <w:r w:rsidRPr="002644D9">
        <w:rPr>
          <w:rFonts w:cs="Arial"/>
          <w:i/>
          <w:color w:val="000000" w:themeColor="text1"/>
        </w:rPr>
        <w:t>Merrill</w:t>
      </w:r>
      <w:r w:rsidR="009D58AF" w:rsidRPr="002644D9">
        <w:rPr>
          <w:rFonts w:cs="Arial"/>
          <w:color w:val="000000" w:themeColor="text1"/>
        </w:rPr>
        <w:t>,</w:t>
      </w:r>
      <w:r w:rsidRPr="002644D9">
        <w:rPr>
          <w:rFonts w:cs="Arial"/>
          <w:color w:val="000000" w:themeColor="text1"/>
        </w:rPr>
        <w:t xml:space="preserve"> </w:t>
      </w:r>
      <w:r w:rsidR="009D58AF" w:rsidRPr="002644D9">
        <w:rPr>
          <w:rFonts w:cs="Arial"/>
          <w:iCs/>
          <w:color w:val="000000" w:themeColor="text1"/>
        </w:rPr>
        <w:t xml:space="preserve">443 U.S. </w:t>
      </w:r>
      <w:r w:rsidRPr="002644D9">
        <w:rPr>
          <w:rFonts w:cs="Arial"/>
          <w:color w:val="000000" w:themeColor="text1"/>
        </w:rPr>
        <w:t>at 362 n.24</w:t>
      </w:r>
      <w:r w:rsidR="00CC7952" w:rsidRPr="002644D9">
        <w:rPr>
          <w:rFonts w:cs="Arial"/>
          <w:color w:val="000000" w:themeColor="text1"/>
        </w:rPr>
        <w:t xml:space="preserve">. </w:t>
      </w:r>
      <w:r w:rsidRPr="002644D9">
        <w:rPr>
          <w:rFonts w:cs="Arial"/>
          <w:color w:val="000000" w:themeColor="text1"/>
        </w:rPr>
        <w:t xml:space="preserve"> </w:t>
      </w:r>
      <w:r w:rsidR="00CC7952" w:rsidRPr="002644D9">
        <w:rPr>
          <w:rFonts w:cs="Arial"/>
          <w:i/>
          <w:color w:val="000000" w:themeColor="text1"/>
        </w:rPr>
        <w:t>S</w:t>
      </w:r>
      <w:r w:rsidRPr="002644D9">
        <w:rPr>
          <w:rFonts w:cs="Arial"/>
          <w:i/>
          <w:color w:val="000000" w:themeColor="text1"/>
        </w:rPr>
        <w:t>ee</w:t>
      </w:r>
      <w:r w:rsidRPr="002644D9">
        <w:rPr>
          <w:rFonts w:cs="Arial"/>
          <w:color w:val="000000" w:themeColor="text1"/>
        </w:rPr>
        <w:t xml:space="preserve"> </w:t>
      </w:r>
      <w:r w:rsidR="00957487" w:rsidRPr="002644D9">
        <w:rPr>
          <w:rFonts w:cs="Arial"/>
          <w:i/>
          <w:iCs/>
          <w:color w:val="000000" w:themeColor="text1"/>
        </w:rPr>
        <w:t>United States</w:t>
      </w:r>
      <w:r w:rsidRPr="002644D9">
        <w:rPr>
          <w:rFonts w:cs="Arial"/>
          <w:i/>
          <w:iCs/>
          <w:color w:val="000000" w:themeColor="text1"/>
        </w:rPr>
        <w:t xml:space="preserve"> ex rel. Purcell v. MWI Corp</w:t>
      </w:r>
      <w:r w:rsidRPr="002644D9">
        <w:rPr>
          <w:rFonts w:cs="Arial"/>
          <w:color w:val="000000" w:themeColor="text1"/>
        </w:rPr>
        <w:t>., 209 F.R.D. 21, 28 (D.D.C. 2002) (</w:t>
      </w:r>
      <w:r w:rsidR="00FC3BF6" w:rsidRPr="002644D9">
        <w:rPr>
          <w:rFonts w:cs="Arial"/>
          <w:color w:val="000000" w:themeColor="text1"/>
        </w:rPr>
        <w:t>g</w:t>
      </w:r>
      <w:r w:rsidRPr="002644D9">
        <w:rPr>
          <w:rFonts w:cs="Arial"/>
          <w:color w:val="000000" w:themeColor="text1"/>
        </w:rPr>
        <w:t>ood cause shown for issuance of protective order negated by agreement to exclude plaintiff from access to certain proprietary information and having an “attorney</w:t>
      </w:r>
      <w:r w:rsidR="003E7819" w:rsidRPr="002644D9">
        <w:rPr>
          <w:rFonts w:cs="Arial"/>
          <w:color w:val="000000" w:themeColor="text1"/>
        </w:rPr>
        <w:t>’s</w:t>
      </w:r>
      <w:r w:rsidRPr="002644D9">
        <w:rPr>
          <w:rFonts w:cs="Arial"/>
          <w:color w:val="000000" w:themeColor="text1"/>
        </w:rPr>
        <w:t xml:space="preserve"> eyes only” agreement).</w:t>
      </w:r>
    </w:p>
  </w:footnote>
  <w:footnote w:id="25">
    <w:p w14:paraId="15DE6150" w14:textId="77777777" w:rsidR="00260F64" w:rsidRPr="002644D9" w:rsidRDefault="00260F64" w:rsidP="004E4C06">
      <w:pPr>
        <w:pStyle w:val="FootnoteText"/>
        <w:rPr>
          <w:rFonts w:cs="Arial"/>
          <w:color w:val="000000" w:themeColor="text1"/>
        </w:rPr>
      </w:pPr>
      <w:r w:rsidRPr="002644D9">
        <w:rPr>
          <w:rStyle w:val="FootnoteReference"/>
          <w:rFonts w:cs="Arial"/>
          <w:color w:val="000000" w:themeColor="text1"/>
        </w:rPr>
        <w:footnoteRef/>
      </w:r>
      <w:r w:rsidRPr="002644D9">
        <w:rPr>
          <w:rFonts w:cs="Arial"/>
          <w:color w:val="000000" w:themeColor="text1"/>
        </w:rPr>
        <w:t xml:space="preserve"> “Final § 3007.303(</w:t>
      </w:r>
      <w:r w:rsidR="00950D58" w:rsidRPr="002644D9">
        <w:rPr>
          <w:rFonts w:cs="Arial"/>
          <w:color w:val="000000" w:themeColor="text1"/>
        </w:rPr>
        <w:t>b</w:t>
      </w:r>
      <w:r w:rsidRPr="002644D9">
        <w:rPr>
          <w:rFonts w:cs="Arial"/>
          <w:color w:val="000000" w:themeColor="text1"/>
        </w:rPr>
        <w:t xml:space="preserve">) reserves the right of any person, including the Postal Service, to pursue other remedies.”  Order No. 4679 at </w:t>
      </w:r>
      <w:r w:rsidR="00950D58" w:rsidRPr="002644D9">
        <w:rPr>
          <w:rFonts w:cs="Arial"/>
          <w:color w:val="000000" w:themeColor="text1"/>
        </w:rPr>
        <w:t>28</w:t>
      </w:r>
      <w:r w:rsidRPr="002644D9">
        <w:rPr>
          <w:rFonts w:cs="Arial"/>
          <w:color w:val="000000" w:themeColor="text1"/>
        </w:rPr>
        <w:t>.</w:t>
      </w:r>
    </w:p>
  </w:footnote>
  <w:footnote w:id="26">
    <w:p w14:paraId="0F480871" w14:textId="49DE6CBB" w:rsidR="00836D1E" w:rsidRPr="002644D9" w:rsidRDefault="00836D1E" w:rsidP="004E4C06">
      <w:pPr>
        <w:autoSpaceDE w:val="0"/>
        <w:autoSpaceDN w:val="0"/>
        <w:adjustRightInd w:val="0"/>
        <w:spacing w:after="120" w:line="240" w:lineRule="auto"/>
        <w:rPr>
          <w:rFonts w:cs="Arial"/>
          <w:color w:val="000000" w:themeColor="text1"/>
          <w:sz w:val="20"/>
        </w:rPr>
      </w:pPr>
      <w:r w:rsidRPr="002644D9">
        <w:rPr>
          <w:rStyle w:val="FootnoteReference"/>
          <w:rFonts w:cs="Arial"/>
          <w:color w:val="000000" w:themeColor="text1"/>
          <w:sz w:val="20"/>
        </w:rPr>
        <w:footnoteRef/>
      </w:r>
      <w:r w:rsidRPr="002644D9">
        <w:rPr>
          <w:rFonts w:cs="Arial"/>
          <w:color w:val="000000" w:themeColor="text1"/>
          <w:sz w:val="20"/>
        </w:rPr>
        <w:t xml:space="preserve"> </w:t>
      </w:r>
      <w:r w:rsidRPr="002644D9">
        <w:rPr>
          <w:rFonts w:cs="Arial"/>
          <w:i/>
          <w:iCs/>
          <w:color w:val="000000" w:themeColor="text1"/>
          <w:sz w:val="20"/>
        </w:rPr>
        <w:t>Castellani</w:t>
      </w:r>
      <w:r w:rsidR="00C04F2A" w:rsidRPr="002644D9">
        <w:rPr>
          <w:rFonts w:cs="Arial"/>
          <w:iCs/>
          <w:color w:val="000000" w:themeColor="text1"/>
          <w:sz w:val="20"/>
        </w:rPr>
        <w:t xml:space="preserve">, </w:t>
      </w:r>
      <w:r w:rsidR="00C04F2A" w:rsidRPr="002644D9">
        <w:rPr>
          <w:rFonts w:cs="Arial"/>
          <w:color w:val="000000" w:themeColor="text1"/>
          <w:sz w:val="20"/>
        </w:rPr>
        <w:t>102 F.</w:t>
      </w:r>
      <w:r w:rsidR="0065129E" w:rsidRPr="002644D9">
        <w:rPr>
          <w:rFonts w:cs="Arial"/>
          <w:color w:val="000000" w:themeColor="text1"/>
          <w:sz w:val="20"/>
        </w:rPr>
        <w:t xml:space="preserve"> </w:t>
      </w:r>
      <w:r w:rsidR="00C04F2A" w:rsidRPr="002644D9">
        <w:rPr>
          <w:rFonts w:cs="Arial"/>
          <w:color w:val="000000" w:themeColor="text1"/>
          <w:sz w:val="20"/>
        </w:rPr>
        <w:t>Supp.</w:t>
      </w:r>
      <w:r w:rsidR="0065129E" w:rsidRPr="002644D9">
        <w:rPr>
          <w:rFonts w:cs="Arial"/>
          <w:color w:val="000000" w:themeColor="text1"/>
          <w:sz w:val="20"/>
        </w:rPr>
        <w:t xml:space="preserve"> </w:t>
      </w:r>
      <w:r w:rsidR="00C04F2A" w:rsidRPr="002644D9">
        <w:rPr>
          <w:rFonts w:cs="Arial"/>
          <w:color w:val="000000" w:themeColor="text1"/>
          <w:sz w:val="20"/>
        </w:rPr>
        <w:t>3d</w:t>
      </w:r>
      <w:r w:rsidRPr="002644D9">
        <w:rPr>
          <w:rFonts w:cs="Arial"/>
          <w:i/>
          <w:iCs/>
          <w:color w:val="000000" w:themeColor="text1"/>
          <w:sz w:val="20"/>
        </w:rPr>
        <w:t xml:space="preserve"> </w:t>
      </w:r>
      <w:r w:rsidR="00A5239E" w:rsidRPr="002644D9">
        <w:rPr>
          <w:rFonts w:cs="Arial"/>
          <w:color w:val="000000" w:themeColor="text1"/>
          <w:sz w:val="20"/>
        </w:rPr>
        <w:t>at</w:t>
      </w:r>
      <w:r w:rsidRPr="002644D9">
        <w:rPr>
          <w:rFonts w:cs="Arial"/>
          <w:color w:val="000000" w:themeColor="text1"/>
          <w:sz w:val="20"/>
        </w:rPr>
        <w:t xml:space="preserve"> 668 </w:t>
      </w:r>
      <w:r w:rsidR="00613A75" w:rsidRPr="002644D9">
        <w:rPr>
          <w:rFonts w:cs="Arial"/>
          <w:color w:val="000000" w:themeColor="text1"/>
          <w:sz w:val="20"/>
        </w:rPr>
        <w:t>(</w:t>
      </w:r>
      <w:r w:rsidR="002570D5" w:rsidRPr="002644D9">
        <w:rPr>
          <w:rFonts w:cs="Arial"/>
          <w:color w:val="000000" w:themeColor="text1"/>
          <w:sz w:val="20"/>
        </w:rPr>
        <w:t xml:space="preserve">citing </w:t>
      </w:r>
      <w:r w:rsidR="002570D5" w:rsidRPr="002644D9">
        <w:rPr>
          <w:rFonts w:cs="Arial"/>
          <w:i/>
          <w:color w:val="000000" w:themeColor="text1"/>
          <w:sz w:val="20"/>
        </w:rPr>
        <w:t xml:space="preserve">Reid v. </w:t>
      </w:r>
      <w:r w:rsidR="00B53DC2" w:rsidRPr="002644D9">
        <w:rPr>
          <w:rFonts w:cs="Arial"/>
          <w:i/>
          <w:color w:val="000000" w:themeColor="text1"/>
          <w:sz w:val="20"/>
        </w:rPr>
        <w:t xml:space="preserve">Cumberland </w:t>
      </w:r>
      <w:proofErr w:type="spellStart"/>
      <w:r w:rsidR="00B53DC2" w:rsidRPr="002644D9">
        <w:rPr>
          <w:rFonts w:cs="Arial"/>
          <w:i/>
          <w:color w:val="000000" w:themeColor="text1"/>
          <w:sz w:val="20"/>
        </w:rPr>
        <w:t>Cnty</w:t>
      </w:r>
      <w:proofErr w:type="spellEnd"/>
      <w:r w:rsidR="00B53DC2" w:rsidRPr="002644D9">
        <w:rPr>
          <w:rFonts w:cs="Arial"/>
          <w:i/>
          <w:color w:val="000000" w:themeColor="text1"/>
          <w:sz w:val="20"/>
        </w:rPr>
        <w:t>.</w:t>
      </w:r>
      <w:r w:rsidR="002570D5" w:rsidRPr="002644D9">
        <w:rPr>
          <w:rFonts w:cs="Arial"/>
          <w:color w:val="000000" w:themeColor="text1"/>
          <w:sz w:val="20"/>
        </w:rPr>
        <w:t xml:space="preserve">, </w:t>
      </w:r>
      <w:r w:rsidR="000F1987" w:rsidRPr="002644D9">
        <w:rPr>
          <w:rFonts w:cs="Arial"/>
          <w:color w:val="000000" w:themeColor="text1"/>
          <w:sz w:val="20"/>
        </w:rPr>
        <w:t xml:space="preserve">34 F. Supp. 3d </w:t>
      </w:r>
      <w:r w:rsidR="00912573" w:rsidRPr="002644D9">
        <w:rPr>
          <w:rFonts w:cs="Arial"/>
          <w:color w:val="000000" w:themeColor="text1"/>
          <w:sz w:val="20"/>
        </w:rPr>
        <w:t xml:space="preserve">396, </w:t>
      </w:r>
      <w:r w:rsidR="002570D5" w:rsidRPr="002644D9">
        <w:rPr>
          <w:rFonts w:cs="Arial"/>
          <w:color w:val="000000" w:themeColor="text1"/>
          <w:sz w:val="20"/>
        </w:rPr>
        <w:t>408-09</w:t>
      </w:r>
      <w:r w:rsidR="00613A75" w:rsidRPr="002644D9">
        <w:rPr>
          <w:rFonts w:cs="Arial"/>
          <w:color w:val="000000" w:themeColor="text1"/>
          <w:sz w:val="20"/>
        </w:rPr>
        <w:t xml:space="preserve">) </w:t>
      </w:r>
      <w:r w:rsidRPr="002644D9">
        <w:rPr>
          <w:rFonts w:cs="Arial"/>
          <w:color w:val="000000" w:themeColor="text1"/>
          <w:sz w:val="20"/>
        </w:rPr>
        <w:t>(</w:t>
      </w:r>
      <w:r w:rsidR="00EC6952" w:rsidRPr="002644D9">
        <w:rPr>
          <w:rFonts w:cs="Arial"/>
          <w:color w:val="000000" w:themeColor="text1"/>
          <w:sz w:val="20"/>
        </w:rPr>
        <w:t xml:space="preserve">finding that </w:t>
      </w:r>
      <w:r w:rsidR="00543DC8" w:rsidRPr="002644D9">
        <w:rPr>
          <w:rFonts w:cs="Arial"/>
          <w:color w:val="000000" w:themeColor="text1"/>
          <w:sz w:val="20"/>
        </w:rPr>
        <w:t xml:space="preserve">entry of confidentiality order negates </w:t>
      </w:r>
      <w:r w:rsidR="0098694E" w:rsidRPr="002644D9">
        <w:rPr>
          <w:rFonts w:cs="Arial"/>
          <w:color w:val="000000" w:themeColor="text1"/>
          <w:sz w:val="20"/>
        </w:rPr>
        <w:t>potential harm resulting from disclosure</w:t>
      </w:r>
      <w:r w:rsidRPr="002644D9">
        <w:rPr>
          <w:rFonts w:cs="Arial"/>
          <w:color w:val="000000" w:themeColor="text1"/>
          <w:sz w:val="20"/>
        </w:rPr>
        <w:t>).</w:t>
      </w:r>
    </w:p>
  </w:footnote>
  <w:footnote w:id="27">
    <w:p w14:paraId="59788A60" w14:textId="4CDD3826" w:rsidR="00810ACF" w:rsidRPr="002644D9" w:rsidRDefault="00810ACF" w:rsidP="004E4C06">
      <w:pPr>
        <w:pStyle w:val="FootnoteText"/>
        <w:rPr>
          <w:color w:val="000000" w:themeColor="text1"/>
        </w:rPr>
      </w:pPr>
      <w:r w:rsidRPr="002644D9">
        <w:rPr>
          <w:rStyle w:val="FootnoteReference"/>
          <w:rFonts w:cs="Arial"/>
          <w:color w:val="000000" w:themeColor="text1"/>
        </w:rPr>
        <w:footnoteRef/>
      </w:r>
      <w:r w:rsidRPr="002644D9">
        <w:rPr>
          <w:rFonts w:cs="Arial"/>
          <w:color w:val="000000" w:themeColor="text1"/>
        </w:rPr>
        <w:t xml:space="preserve"> </w:t>
      </w:r>
      <w:r w:rsidRPr="002644D9">
        <w:rPr>
          <w:rFonts w:cs="Arial"/>
          <w:i/>
          <w:iCs/>
          <w:color w:val="000000" w:themeColor="text1"/>
        </w:rPr>
        <w:t>Castellani</w:t>
      </w:r>
      <w:r w:rsidR="003C459F" w:rsidRPr="002644D9">
        <w:rPr>
          <w:rFonts w:cs="Arial"/>
          <w:iCs/>
          <w:color w:val="000000" w:themeColor="text1"/>
        </w:rPr>
        <w:t xml:space="preserve">, </w:t>
      </w:r>
      <w:r w:rsidR="003C459F" w:rsidRPr="002644D9">
        <w:rPr>
          <w:rFonts w:cs="Arial"/>
          <w:color w:val="000000" w:themeColor="text1"/>
        </w:rPr>
        <w:t>102 F.</w:t>
      </w:r>
      <w:r w:rsidR="0065129E" w:rsidRPr="002644D9">
        <w:rPr>
          <w:rFonts w:cs="Arial"/>
          <w:color w:val="000000" w:themeColor="text1"/>
        </w:rPr>
        <w:t xml:space="preserve"> </w:t>
      </w:r>
      <w:r w:rsidR="003C459F" w:rsidRPr="002644D9">
        <w:rPr>
          <w:rFonts w:cs="Arial"/>
          <w:color w:val="000000" w:themeColor="text1"/>
        </w:rPr>
        <w:t>Supp.</w:t>
      </w:r>
      <w:r w:rsidR="0065129E" w:rsidRPr="002644D9">
        <w:rPr>
          <w:rFonts w:cs="Arial"/>
          <w:color w:val="000000" w:themeColor="text1"/>
        </w:rPr>
        <w:t xml:space="preserve"> </w:t>
      </w:r>
      <w:r w:rsidR="003C459F" w:rsidRPr="002644D9">
        <w:rPr>
          <w:rFonts w:cs="Arial"/>
          <w:color w:val="000000" w:themeColor="text1"/>
        </w:rPr>
        <w:t>3d</w:t>
      </w:r>
      <w:r w:rsidRPr="002644D9">
        <w:rPr>
          <w:rFonts w:cs="Arial"/>
          <w:i/>
          <w:iCs/>
          <w:color w:val="000000" w:themeColor="text1"/>
        </w:rPr>
        <w:t xml:space="preserve"> </w:t>
      </w:r>
      <w:r w:rsidR="00DC5FF4" w:rsidRPr="002644D9">
        <w:rPr>
          <w:rFonts w:cs="Arial"/>
          <w:color w:val="000000" w:themeColor="text1"/>
        </w:rPr>
        <w:t xml:space="preserve">at </w:t>
      </w:r>
      <w:r w:rsidR="00B259AC" w:rsidRPr="002644D9">
        <w:rPr>
          <w:rFonts w:cs="Arial"/>
          <w:color w:val="000000" w:themeColor="text1"/>
        </w:rPr>
        <w:t>666</w:t>
      </w:r>
      <w:r w:rsidR="00DC5FF4" w:rsidRPr="002644D9">
        <w:rPr>
          <w:rFonts w:cs="Arial"/>
          <w:color w:val="000000" w:themeColor="text1"/>
        </w:rPr>
        <w:t xml:space="preserve"> </w:t>
      </w:r>
      <w:r w:rsidRPr="002644D9">
        <w:rPr>
          <w:rFonts w:cs="Arial"/>
          <w:color w:val="000000" w:themeColor="text1"/>
        </w:rPr>
        <w:t xml:space="preserve">(citing </w:t>
      </w:r>
      <w:r w:rsidR="00F24FE8" w:rsidRPr="002644D9">
        <w:rPr>
          <w:rFonts w:cs="Arial"/>
          <w:i/>
          <w:color w:val="000000" w:themeColor="text1"/>
        </w:rPr>
        <w:t>Pansy v. Borough of Strou</w:t>
      </w:r>
      <w:r w:rsidR="003076F9" w:rsidRPr="002644D9">
        <w:rPr>
          <w:rFonts w:cs="Arial"/>
          <w:i/>
          <w:color w:val="000000" w:themeColor="text1"/>
        </w:rPr>
        <w:t>d</w:t>
      </w:r>
      <w:r w:rsidR="00F24FE8" w:rsidRPr="002644D9">
        <w:rPr>
          <w:rFonts w:cs="Arial"/>
          <w:i/>
          <w:color w:val="000000" w:themeColor="text1"/>
        </w:rPr>
        <w:t>sburg</w:t>
      </w:r>
      <w:r w:rsidR="00F24FE8" w:rsidRPr="002644D9">
        <w:rPr>
          <w:rFonts w:cs="Arial"/>
          <w:color w:val="000000" w:themeColor="text1"/>
        </w:rPr>
        <w:t>, 23 F.3d 772, 786 (3d Cir. 1994)</w:t>
      </w:r>
      <w:r w:rsidR="003F0AA2" w:rsidRPr="002644D9">
        <w:rPr>
          <w:rFonts w:cs="Arial"/>
          <w:color w:val="000000" w:themeColor="text1"/>
        </w:rPr>
        <w:t>)</w:t>
      </w:r>
      <w:r w:rsidR="00F24FE8" w:rsidRPr="002644D9">
        <w:rPr>
          <w:rFonts w:cs="Arial"/>
          <w:color w:val="000000" w:themeColor="text1"/>
        </w:rPr>
        <w:t>.</w:t>
      </w:r>
    </w:p>
  </w:footnote>
  <w:footnote w:id="28">
    <w:p w14:paraId="4E54103D" w14:textId="64422A75" w:rsidR="00F807F1" w:rsidRPr="002644D9" w:rsidRDefault="00F807F1" w:rsidP="004E4C06">
      <w:pPr>
        <w:pStyle w:val="FootnoteText"/>
        <w:rPr>
          <w:color w:val="000000" w:themeColor="text1"/>
        </w:rPr>
      </w:pPr>
      <w:r w:rsidRPr="002644D9">
        <w:rPr>
          <w:rStyle w:val="FootnoteReference"/>
          <w:color w:val="000000" w:themeColor="text1"/>
        </w:rPr>
        <w:footnoteRef/>
      </w:r>
      <w:r w:rsidRPr="002644D9">
        <w:rPr>
          <w:color w:val="000000" w:themeColor="text1"/>
        </w:rPr>
        <w:t xml:space="preserve"> Pub. L. 109-435, 120 Stat. 3198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4613" w14:textId="09A3104E" w:rsidR="004866A5" w:rsidRDefault="00BB1CE6" w:rsidP="006268B7">
    <w:pPr>
      <w:pStyle w:val="Header"/>
      <w:rPr>
        <w:noProof/>
      </w:rPr>
    </w:pPr>
    <w:r>
      <w:t>Docket No. ACR20</w:t>
    </w:r>
    <w:r w:rsidR="00C00DC3">
      <w:t>2</w:t>
    </w:r>
    <w:r w:rsidR="000B3664">
      <w:t>2</w:t>
    </w:r>
    <w:r>
      <w:tab/>
    </w:r>
    <w:r>
      <w:tab/>
    </w:r>
    <w:r>
      <w:tab/>
    </w:r>
    <w:r>
      <w:tab/>
      <w:t xml:space="preserve">- </w:t>
    </w:r>
    <w:r>
      <w:fldChar w:fldCharType="begin"/>
    </w:r>
    <w:r>
      <w:instrText xml:space="preserve"> PAGE   \* MERGEFORMAT </w:instrText>
    </w:r>
    <w:r>
      <w:fldChar w:fldCharType="separate"/>
    </w:r>
    <w:r w:rsidR="00A4334E">
      <w:rPr>
        <w:noProof/>
      </w:rPr>
      <w:t>16</w:t>
    </w:r>
    <w:r>
      <w:rPr>
        <w:noProof/>
      </w:rPr>
      <w:fldChar w:fldCharType="end"/>
    </w:r>
    <w:r>
      <w:rPr>
        <w:noProof/>
      </w:rPr>
      <w:t xml:space="preserve"> -</w:t>
    </w:r>
    <w:r>
      <w:rPr>
        <w:noProof/>
      </w:rPr>
      <w:tab/>
    </w:r>
    <w:r>
      <w:rPr>
        <w:noProof/>
      </w:rPr>
      <w:tab/>
    </w:r>
    <w:r>
      <w:rPr>
        <w:noProof/>
      </w:rPr>
      <w:tab/>
    </w:r>
    <w:r>
      <w:rPr>
        <w:noProof/>
      </w:rPr>
      <w:tab/>
    </w:r>
    <w:r>
      <w:rPr>
        <w:noProof/>
      </w:rPr>
      <w:tab/>
      <w:t xml:space="preserve">Order No. </w:t>
    </w:r>
    <w:r w:rsidR="001B37E1">
      <w:rPr>
        <w:noProof/>
      </w:rPr>
      <w:t>6429</w:t>
    </w:r>
  </w:p>
  <w:p w14:paraId="65B808EA" w14:textId="77777777" w:rsidR="00BB1CE6" w:rsidRDefault="00BB1CE6" w:rsidP="006268B7">
    <w:pPr>
      <w:pStyle w:val="Header"/>
      <w:rPr>
        <w:noProof/>
      </w:rPr>
    </w:pPr>
  </w:p>
  <w:p w14:paraId="603AD3D2" w14:textId="77777777" w:rsidR="00BB1CE6" w:rsidRDefault="00BB1CE6" w:rsidP="006268B7">
    <w:pPr>
      <w:pStyle w:val="Header"/>
      <w:rPr>
        <w:noProof/>
      </w:rPr>
    </w:pPr>
  </w:p>
  <w:p w14:paraId="4BDCFED2" w14:textId="77777777" w:rsidR="00BB1CE6" w:rsidRPr="006268B7" w:rsidRDefault="00BB1CE6" w:rsidP="00626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3EF9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F419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406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BE99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C018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B61B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BA66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14F4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30EB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220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712BF5"/>
    <w:multiLevelType w:val="hybridMultilevel"/>
    <w:tmpl w:val="0E04F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D6347EC"/>
    <w:multiLevelType w:val="hybridMultilevel"/>
    <w:tmpl w:val="FDDA1F36"/>
    <w:lvl w:ilvl="0" w:tplc="8F8EBBDE">
      <w:start w:val="2"/>
      <w:numFmt w:val="bullet"/>
      <w:lvlText w:val=""/>
      <w:lvlJc w:val="left"/>
      <w:pPr>
        <w:ind w:left="1496" w:hanging="360"/>
      </w:pPr>
      <w:rPr>
        <w:rFonts w:ascii="Wingdings" w:eastAsia="Times New Roman" w:hAnsi="Wingdings" w:cs="Times New Roman"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2" w15:restartNumberingAfterBreak="0">
    <w:nsid w:val="0E0767D5"/>
    <w:multiLevelType w:val="hybridMultilevel"/>
    <w:tmpl w:val="B88EC004"/>
    <w:lvl w:ilvl="0" w:tplc="CF9070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2881B01"/>
    <w:multiLevelType w:val="hybridMultilevel"/>
    <w:tmpl w:val="93E09090"/>
    <w:lvl w:ilvl="0" w:tplc="F4BA0EF8">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5956FAE"/>
    <w:multiLevelType w:val="hybridMultilevel"/>
    <w:tmpl w:val="85B873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A815ABA"/>
    <w:multiLevelType w:val="hybridMultilevel"/>
    <w:tmpl w:val="AA5ACC90"/>
    <w:lvl w:ilvl="0" w:tplc="C882B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1A7949"/>
    <w:multiLevelType w:val="hybridMultilevel"/>
    <w:tmpl w:val="2A0C8850"/>
    <w:lvl w:ilvl="0" w:tplc="15628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E07663"/>
    <w:multiLevelType w:val="hybridMultilevel"/>
    <w:tmpl w:val="A33259F0"/>
    <w:lvl w:ilvl="0" w:tplc="8F8EBBDE">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E591130"/>
    <w:multiLevelType w:val="hybridMultilevel"/>
    <w:tmpl w:val="41969420"/>
    <w:lvl w:ilvl="0" w:tplc="8C40F764">
      <w:start w:val="1"/>
      <w:numFmt w:val="upperRoman"/>
      <w:pStyle w:val="Heading1"/>
      <w:lvlText w:val="%1."/>
      <w:lvlJc w:val="left"/>
      <w:pPr>
        <w:ind w:left="720" w:hanging="360"/>
      </w:pPr>
      <w:rPr>
        <w:rFonts w:hint="default"/>
        <w:b w:val="0"/>
        <w:i w:val="0"/>
        <w: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00B30C3"/>
    <w:multiLevelType w:val="hybridMultilevel"/>
    <w:tmpl w:val="084CAFA6"/>
    <w:lvl w:ilvl="0" w:tplc="B17201DE">
      <w:start w:val="1"/>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3182E7F"/>
    <w:multiLevelType w:val="hybridMultilevel"/>
    <w:tmpl w:val="A8D46DC0"/>
    <w:lvl w:ilvl="0" w:tplc="235E2DE2">
      <w:start w:val="1"/>
      <w:numFmt w:val="decimal"/>
      <w:pStyle w:val="OrderingParagraph"/>
      <w:lvlText w:val="%1."/>
      <w:lvlJc w:val="center"/>
      <w:pPr>
        <w:ind w:left="360" w:hanging="360"/>
      </w:pPr>
      <w:rPr>
        <w:rFonts w:ascii="Arial" w:hAnsi="Arial"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CE3DAF"/>
    <w:multiLevelType w:val="hybridMultilevel"/>
    <w:tmpl w:val="B4188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7D73E4"/>
    <w:multiLevelType w:val="hybridMultilevel"/>
    <w:tmpl w:val="32AC5122"/>
    <w:lvl w:ilvl="0" w:tplc="B8623E4E">
      <w:start w:val="1"/>
      <w:numFmt w:val="decimal"/>
      <w:pStyle w:val="Heading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C483BA2"/>
    <w:multiLevelType w:val="hybridMultilevel"/>
    <w:tmpl w:val="94CA9176"/>
    <w:lvl w:ilvl="0" w:tplc="49828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7B5222"/>
    <w:multiLevelType w:val="hybridMultilevel"/>
    <w:tmpl w:val="721E4696"/>
    <w:lvl w:ilvl="0" w:tplc="4588F10A">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4D2D85"/>
    <w:multiLevelType w:val="hybridMultilevel"/>
    <w:tmpl w:val="2A52F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404752"/>
    <w:multiLevelType w:val="hybridMultilevel"/>
    <w:tmpl w:val="6B143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9A2708"/>
    <w:multiLevelType w:val="hybridMultilevel"/>
    <w:tmpl w:val="149A97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38035230">
    <w:abstractNumId w:val="9"/>
  </w:num>
  <w:num w:numId="2" w16cid:durableId="1156921838">
    <w:abstractNumId w:val="7"/>
  </w:num>
  <w:num w:numId="3" w16cid:durableId="2023900209">
    <w:abstractNumId w:val="6"/>
  </w:num>
  <w:num w:numId="4" w16cid:durableId="619339488">
    <w:abstractNumId w:val="5"/>
  </w:num>
  <w:num w:numId="5" w16cid:durableId="1544557867">
    <w:abstractNumId w:val="4"/>
  </w:num>
  <w:num w:numId="6" w16cid:durableId="440607494">
    <w:abstractNumId w:val="8"/>
  </w:num>
  <w:num w:numId="7" w16cid:durableId="2137261618">
    <w:abstractNumId w:val="3"/>
  </w:num>
  <w:num w:numId="8" w16cid:durableId="1341157522">
    <w:abstractNumId w:val="2"/>
  </w:num>
  <w:num w:numId="9" w16cid:durableId="1213736968">
    <w:abstractNumId w:val="1"/>
  </w:num>
  <w:num w:numId="10" w16cid:durableId="1237011185">
    <w:abstractNumId w:val="0"/>
  </w:num>
  <w:num w:numId="11" w16cid:durableId="538207188">
    <w:abstractNumId w:val="20"/>
  </w:num>
  <w:num w:numId="12" w16cid:durableId="1348488226">
    <w:abstractNumId w:val="17"/>
  </w:num>
  <w:num w:numId="13" w16cid:durableId="1145897702">
    <w:abstractNumId w:val="11"/>
  </w:num>
  <w:num w:numId="14" w16cid:durableId="18707895">
    <w:abstractNumId w:val="18"/>
  </w:num>
  <w:num w:numId="15" w16cid:durableId="919482394">
    <w:abstractNumId w:val="25"/>
  </w:num>
  <w:num w:numId="16" w16cid:durableId="19274912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83108128">
    <w:abstractNumId w:val="21"/>
  </w:num>
  <w:num w:numId="18" w16cid:durableId="1684742020">
    <w:abstractNumId w:val="26"/>
  </w:num>
  <w:num w:numId="19" w16cid:durableId="1350177091">
    <w:abstractNumId w:val="19"/>
  </w:num>
  <w:num w:numId="20" w16cid:durableId="875194546">
    <w:abstractNumId w:val="12"/>
  </w:num>
  <w:num w:numId="21" w16cid:durableId="2098868713">
    <w:abstractNumId w:val="13"/>
  </w:num>
  <w:num w:numId="22" w16cid:durableId="1789816009">
    <w:abstractNumId w:val="15"/>
  </w:num>
  <w:num w:numId="23" w16cid:durableId="386532031">
    <w:abstractNumId w:val="23"/>
  </w:num>
  <w:num w:numId="24" w16cid:durableId="1815482930">
    <w:abstractNumId w:val="10"/>
  </w:num>
  <w:num w:numId="25" w16cid:durableId="1853568053">
    <w:abstractNumId w:val="27"/>
  </w:num>
  <w:num w:numId="26" w16cid:durableId="40596051">
    <w:abstractNumId w:val="16"/>
  </w:num>
  <w:num w:numId="27" w16cid:durableId="45954332">
    <w:abstractNumId w:val="24"/>
  </w:num>
  <w:num w:numId="28" w16cid:durableId="1287354473">
    <w:abstractNumId w:val="24"/>
    <w:lvlOverride w:ilvl="0">
      <w:startOverride w:val="1"/>
    </w:lvlOverride>
  </w:num>
  <w:num w:numId="29" w16cid:durableId="685719255">
    <w:abstractNumId w:val="22"/>
  </w:num>
  <w:num w:numId="30" w16cid:durableId="20953242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7AA"/>
    <w:rsid w:val="00003539"/>
    <w:rsid w:val="000038B3"/>
    <w:rsid w:val="00003BBD"/>
    <w:rsid w:val="00003C2F"/>
    <w:rsid w:val="00005FA9"/>
    <w:rsid w:val="00006C31"/>
    <w:rsid w:val="00010BC2"/>
    <w:rsid w:val="0001169F"/>
    <w:rsid w:val="00013D0A"/>
    <w:rsid w:val="00014832"/>
    <w:rsid w:val="00014EA3"/>
    <w:rsid w:val="000160FB"/>
    <w:rsid w:val="0001665B"/>
    <w:rsid w:val="00016ECF"/>
    <w:rsid w:val="00017B49"/>
    <w:rsid w:val="00020FD5"/>
    <w:rsid w:val="0002115E"/>
    <w:rsid w:val="000214CF"/>
    <w:rsid w:val="00021D16"/>
    <w:rsid w:val="00022C49"/>
    <w:rsid w:val="000249A6"/>
    <w:rsid w:val="000254E1"/>
    <w:rsid w:val="000274AC"/>
    <w:rsid w:val="0002795A"/>
    <w:rsid w:val="00031A57"/>
    <w:rsid w:val="00031CBB"/>
    <w:rsid w:val="000327E4"/>
    <w:rsid w:val="00033938"/>
    <w:rsid w:val="00034C8E"/>
    <w:rsid w:val="00034FFD"/>
    <w:rsid w:val="00035E41"/>
    <w:rsid w:val="00037143"/>
    <w:rsid w:val="000371CA"/>
    <w:rsid w:val="00037759"/>
    <w:rsid w:val="00040F65"/>
    <w:rsid w:val="000428C0"/>
    <w:rsid w:val="000428F3"/>
    <w:rsid w:val="00042AB3"/>
    <w:rsid w:val="00042FA9"/>
    <w:rsid w:val="00043933"/>
    <w:rsid w:val="00043A57"/>
    <w:rsid w:val="00043D61"/>
    <w:rsid w:val="00044257"/>
    <w:rsid w:val="000443F2"/>
    <w:rsid w:val="000447CC"/>
    <w:rsid w:val="00044868"/>
    <w:rsid w:val="00045B36"/>
    <w:rsid w:val="0004600F"/>
    <w:rsid w:val="00047185"/>
    <w:rsid w:val="00047C9A"/>
    <w:rsid w:val="000493C7"/>
    <w:rsid w:val="000517DF"/>
    <w:rsid w:val="00052EA4"/>
    <w:rsid w:val="00054087"/>
    <w:rsid w:val="000547E8"/>
    <w:rsid w:val="00056694"/>
    <w:rsid w:val="0006056D"/>
    <w:rsid w:val="000611B9"/>
    <w:rsid w:val="000613CC"/>
    <w:rsid w:val="0006291E"/>
    <w:rsid w:val="0006292F"/>
    <w:rsid w:val="00063948"/>
    <w:rsid w:val="000664DA"/>
    <w:rsid w:val="00070535"/>
    <w:rsid w:val="00070857"/>
    <w:rsid w:val="00070C9F"/>
    <w:rsid w:val="00071B8B"/>
    <w:rsid w:val="0007256D"/>
    <w:rsid w:val="00072BE9"/>
    <w:rsid w:val="00073A62"/>
    <w:rsid w:val="00074608"/>
    <w:rsid w:val="00074765"/>
    <w:rsid w:val="0007550F"/>
    <w:rsid w:val="00075B3D"/>
    <w:rsid w:val="00076DF1"/>
    <w:rsid w:val="00077ACF"/>
    <w:rsid w:val="0008080A"/>
    <w:rsid w:val="00080A27"/>
    <w:rsid w:val="00080D45"/>
    <w:rsid w:val="000812CE"/>
    <w:rsid w:val="000814A0"/>
    <w:rsid w:val="00081AE4"/>
    <w:rsid w:val="00081FCD"/>
    <w:rsid w:val="00082BB7"/>
    <w:rsid w:val="000830E3"/>
    <w:rsid w:val="00083E9C"/>
    <w:rsid w:val="00083F8D"/>
    <w:rsid w:val="000858DE"/>
    <w:rsid w:val="00087B62"/>
    <w:rsid w:val="00091B17"/>
    <w:rsid w:val="00092030"/>
    <w:rsid w:val="0009214A"/>
    <w:rsid w:val="00092357"/>
    <w:rsid w:val="00093D83"/>
    <w:rsid w:val="00094A33"/>
    <w:rsid w:val="00097B80"/>
    <w:rsid w:val="000A0222"/>
    <w:rsid w:val="000A07A7"/>
    <w:rsid w:val="000A27D5"/>
    <w:rsid w:val="000A365A"/>
    <w:rsid w:val="000A416A"/>
    <w:rsid w:val="000A5715"/>
    <w:rsid w:val="000A5846"/>
    <w:rsid w:val="000A6AEC"/>
    <w:rsid w:val="000A7E3D"/>
    <w:rsid w:val="000B0625"/>
    <w:rsid w:val="000B2C8F"/>
    <w:rsid w:val="000B3664"/>
    <w:rsid w:val="000B513D"/>
    <w:rsid w:val="000B55F9"/>
    <w:rsid w:val="000B5A7C"/>
    <w:rsid w:val="000B5E7F"/>
    <w:rsid w:val="000B6398"/>
    <w:rsid w:val="000B660F"/>
    <w:rsid w:val="000C068A"/>
    <w:rsid w:val="000C08FA"/>
    <w:rsid w:val="000C12F2"/>
    <w:rsid w:val="000C13A3"/>
    <w:rsid w:val="000C1734"/>
    <w:rsid w:val="000C3898"/>
    <w:rsid w:val="000C4834"/>
    <w:rsid w:val="000C57A7"/>
    <w:rsid w:val="000C61DD"/>
    <w:rsid w:val="000C6BD1"/>
    <w:rsid w:val="000C6F58"/>
    <w:rsid w:val="000C7100"/>
    <w:rsid w:val="000C7EFE"/>
    <w:rsid w:val="000D03AA"/>
    <w:rsid w:val="000D05F2"/>
    <w:rsid w:val="000D128E"/>
    <w:rsid w:val="000D155C"/>
    <w:rsid w:val="000D35E2"/>
    <w:rsid w:val="000D3A8E"/>
    <w:rsid w:val="000D7A33"/>
    <w:rsid w:val="000E0EE1"/>
    <w:rsid w:val="000E13E1"/>
    <w:rsid w:val="000E52D2"/>
    <w:rsid w:val="000E5BCA"/>
    <w:rsid w:val="000E5D93"/>
    <w:rsid w:val="000E5E4F"/>
    <w:rsid w:val="000E601B"/>
    <w:rsid w:val="000E723A"/>
    <w:rsid w:val="000E7600"/>
    <w:rsid w:val="000F13F5"/>
    <w:rsid w:val="000F1655"/>
    <w:rsid w:val="000F1987"/>
    <w:rsid w:val="000F1F79"/>
    <w:rsid w:val="000F23B1"/>
    <w:rsid w:val="000F3404"/>
    <w:rsid w:val="000F4208"/>
    <w:rsid w:val="000F6947"/>
    <w:rsid w:val="00100055"/>
    <w:rsid w:val="00101372"/>
    <w:rsid w:val="0010227E"/>
    <w:rsid w:val="00104663"/>
    <w:rsid w:val="0010538A"/>
    <w:rsid w:val="00105C04"/>
    <w:rsid w:val="001064B2"/>
    <w:rsid w:val="001068AB"/>
    <w:rsid w:val="00106FEE"/>
    <w:rsid w:val="00107BE6"/>
    <w:rsid w:val="00110699"/>
    <w:rsid w:val="00110B18"/>
    <w:rsid w:val="00110DAF"/>
    <w:rsid w:val="001116C5"/>
    <w:rsid w:val="001118F8"/>
    <w:rsid w:val="001134AB"/>
    <w:rsid w:val="001135A5"/>
    <w:rsid w:val="00113859"/>
    <w:rsid w:val="0011387A"/>
    <w:rsid w:val="00113FDA"/>
    <w:rsid w:val="001146F3"/>
    <w:rsid w:val="00115343"/>
    <w:rsid w:val="00115366"/>
    <w:rsid w:val="00116954"/>
    <w:rsid w:val="00117158"/>
    <w:rsid w:val="00122084"/>
    <w:rsid w:val="001221A8"/>
    <w:rsid w:val="0012226B"/>
    <w:rsid w:val="0012237A"/>
    <w:rsid w:val="00123BE1"/>
    <w:rsid w:val="00123F06"/>
    <w:rsid w:val="00123F47"/>
    <w:rsid w:val="00125AC2"/>
    <w:rsid w:val="001262F1"/>
    <w:rsid w:val="00127563"/>
    <w:rsid w:val="001277CF"/>
    <w:rsid w:val="001309EE"/>
    <w:rsid w:val="001318E5"/>
    <w:rsid w:val="00132DC1"/>
    <w:rsid w:val="00134CA2"/>
    <w:rsid w:val="00136788"/>
    <w:rsid w:val="00136BBD"/>
    <w:rsid w:val="001401D9"/>
    <w:rsid w:val="00141BE5"/>
    <w:rsid w:val="001422AF"/>
    <w:rsid w:val="00143F0D"/>
    <w:rsid w:val="00144913"/>
    <w:rsid w:val="00144EFB"/>
    <w:rsid w:val="0014515D"/>
    <w:rsid w:val="001451B7"/>
    <w:rsid w:val="00145E1C"/>
    <w:rsid w:val="00146D62"/>
    <w:rsid w:val="001513C0"/>
    <w:rsid w:val="001515B2"/>
    <w:rsid w:val="001522FB"/>
    <w:rsid w:val="00152717"/>
    <w:rsid w:val="001529FD"/>
    <w:rsid w:val="00152F5C"/>
    <w:rsid w:val="0015318B"/>
    <w:rsid w:val="00156290"/>
    <w:rsid w:val="001573F3"/>
    <w:rsid w:val="0015742D"/>
    <w:rsid w:val="001630A1"/>
    <w:rsid w:val="001633A2"/>
    <w:rsid w:val="001633EA"/>
    <w:rsid w:val="00163686"/>
    <w:rsid w:val="00164338"/>
    <w:rsid w:val="0016447E"/>
    <w:rsid w:val="00164A46"/>
    <w:rsid w:val="001650D4"/>
    <w:rsid w:val="00166D77"/>
    <w:rsid w:val="00167856"/>
    <w:rsid w:val="0017059A"/>
    <w:rsid w:val="0017107E"/>
    <w:rsid w:val="001710FB"/>
    <w:rsid w:val="00172C20"/>
    <w:rsid w:val="00172CAC"/>
    <w:rsid w:val="001732B9"/>
    <w:rsid w:val="001736E1"/>
    <w:rsid w:val="00173C24"/>
    <w:rsid w:val="001752D4"/>
    <w:rsid w:val="001754CB"/>
    <w:rsid w:val="00176973"/>
    <w:rsid w:val="001775C0"/>
    <w:rsid w:val="001777BB"/>
    <w:rsid w:val="0018084E"/>
    <w:rsid w:val="0018238B"/>
    <w:rsid w:val="00182912"/>
    <w:rsid w:val="00182C0A"/>
    <w:rsid w:val="00182EBC"/>
    <w:rsid w:val="00183085"/>
    <w:rsid w:val="001835CA"/>
    <w:rsid w:val="001838EE"/>
    <w:rsid w:val="001852C1"/>
    <w:rsid w:val="00185402"/>
    <w:rsid w:val="001857E1"/>
    <w:rsid w:val="00185CA4"/>
    <w:rsid w:val="00186B20"/>
    <w:rsid w:val="001872D5"/>
    <w:rsid w:val="00187FBA"/>
    <w:rsid w:val="00190D96"/>
    <w:rsid w:val="00193087"/>
    <w:rsid w:val="00193FED"/>
    <w:rsid w:val="001947EA"/>
    <w:rsid w:val="00194A0E"/>
    <w:rsid w:val="001A02A8"/>
    <w:rsid w:val="001A036D"/>
    <w:rsid w:val="001A0BE6"/>
    <w:rsid w:val="001A1313"/>
    <w:rsid w:val="001A2081"/>
    <w:rsid w:val="001A27C2"/>
    <w:rsid w:val="001A33AD"/>
    <w:rsid w:val="001A41DC"/>
    <w:rsid w:val="001A55A1"/>
    <w:rsid w:val="001A64EE"/>
    <w:rsid w:val="001A653E"/>
    <w:rsid w:val="001A686C"/>
    <w:rsid w:val="001B0C10"/>
    <w:rsid w:val="001B0C5C"/>
    <w:rsid w:val="001B37E1"/>
    <w:rsid w:val="001B3952"/>
    <w:rsid w:val="001B3997"/>
    <w:rsid w:val="001B4636"/>
    <w:rsid w:val="001B473E"/>
    <w:rsid w:val="001B5C62"/>
    <w:rsid w:val="001B5F37"/>
    <w:rsid w:val="001B7C9E"/>
    <w:rsid w:val="001B7E0A"/>
    <w:rsid w:val="001C0180"/>
    <w:rsid w:val="001C0B4D"/>
    <w:rsid w:val="001C1840"/>
    <w:rsid w:val="001C2163"/>
    <w:rsid w:val="001C22FA"/>
    <w:rsid w:val="001C30A3"/>
    <w:rsid w:val="001C3373"/>
    <w:rsid w:val="001C4732"/>
    <w:rsid w:val="001C53AD"/>
    <w:rsid w:val="001C656F"/>
    <w:rsid w:val="001C7170"/>
    <w:rsid w:val="001C747C"/>
    <w:rsid w:val="001D1D8D"/>
    <w:rsid w:val="001D55BC"/>
    <w:rsid w:val="001D722B"/>
    <w:rsid w:val="001E002E"/>
    <w:rsid w:val="001E054C"/>
    <w:rsid w:val="001E0A51"/>
    <w:rsid w:val="001E11D1"/>
    <w:rsid w:val="001E1B18"/>
    <w:rsid w:val="001E2508"/>
    <w:rsid w:val="001E5BF8"/>
    <w:rsid w:val="001E5E7B"/>
    <w:rsid w:val="001E6C73"/>
    <w:rsid w:val="001E6CB2"/>
    <w:rsid w:val="001F13B0"/>
    <w:rsid w:val="001F1EFD"/>
    <w:rsid w:val="001F24B1"/>
    <w:rsid w:val="001F2702"/>
    <w:rsid w:val="001F2CDD"/>
    <w:rsid w:val="001F327C"/>
    <w:rsid w:val="001F3580"/>
    <w:rsid w:val="001F46F5"/>
    <w:rsid w:val="001F6F5D"/>
    <w:rsid w:val="001F712B"/>
    <w:rsid w:val="001F7CFD"/>
    <w:rsid w:val="00200119"/>
    <w:rsid w:val="00200748"/>
    <w:rsid w:val="0020215C"/>
    <w:rsid w:val="00202572"/>
    <w:rsid w:val="00203366"/>
    <w:rsid w:val="002034F6"/>
    <w:rsid w:val="0020451E"/>
    <w:rsid w:val="00204950"/>
    <w:rsid w:val="002050E8"/>
    <w:rsid w:val="00205484"/>
    <w:rsid w:val="002057D3"/>
    <w:rsid w:val="00205E4C"/>
    <w:rsid w:val="0020699B"/>
    <w:rsid w:val="00210699"/>
    <w:rsid w:val="002116AE"/>
    <w:rsid w:val="00211DC2"/>
    <w:rsid w:val="00212562"/>
    <w:rsid w:val="002139BD"/>
    <w:rsid w:val="00213A58"/>
    <w:rsid w:val="00215CC7"/>
    <w:rsid w:val="0022048B"/>
    <w:rsid w:val="002207AA"/>
    <w:rsid w:val="00222AF6"/>
    <w:rsid w:val="00222B3B"/>
    <w:rsid w:val="00224AC3"/>
    <w:rsid w:val="00227E60"/>
    <w:rsid w:val="00233A4F"/>
    <w:rsid w:val="00233A99"/>
    <w:rsid w:val="00233B85"/>
    <w:rsid w:val="002362E9"/>
    <w:rsid w:val="00236802"/>
    <w:rsid w:val="00236E69"/>
    <w:rsid w:val="002409A9"/>
    <w:rsid w:val="00241623"/>
    <w:rsid w:val="00242356"/>
    <w:rsid w:val="0024393E"/>
    <w:rsid w:val="002449D4"/>
    <w:rsid w:val="002458ED"/>
    <w:rsid w:val="00245EA0"/>
    <w:rsid w:val="0024713D"/>
    <w:rsid w:val="00247981"/>
    <w:rsid w:val="00250574"/>
    <w:rsid w:val="00250806"/>
    <w:rsid w:val="0025082C"/>
    <w:rsid w:val="00250920"/>
    <w:rsid w:val="002515AA"/>
    <w:rsid w:val="00251990"/>
    <w:rsid w:val="002538C3"/>
    <w:rsid w:val="00253A4B"/>
    <w:rsid w:val="00254F83"/>
    <w:rsid w:val="00255867"/>
    <w:rsid w:val="002570D5"/>
    <w:rsid w:val="002603DB"/>
    <w:rsid w:val="002607B4"/>
    <w:rsid w:val="00260F64"/>
    <w:rsid w:val="00262D2E"/>
    <w:rsid w:val="0026323B"/>
    <w:rsid w:val="00263A0C"/>
    <w:rsid w:val="002644D9"/>
    <w:rsid w:val="0026647D"/>
    <w:rsid w:val="00266A5E"/>
    <w:rsid w:val="00266EB8"/>
    <w:rsid w:val="00271265"/>
    <w:rsid w:val="0027142B"/>
    <w:rsid w:val="00271A0A"/>
    <w:rsid w:val="002735BF"/>
    <w:rsid w:val="00274244"/>
    <w:rsid w:val="00274568"/>
    <w:rsid w:val="00275621"/>
    <w:rsid w:val="002771E9"/>
    <w:rsid w:val="00280F8A"/>
    <w:rsid w:val="00282A75"/>
    <w:rsid w:val="002850D2"/>
    <w:rsid w:val="00285582"/>
    <w:rsid w:val="002858DB"/>
    <w:rsid w:val="0029024B"/>
    <w:rsid w:val="002927BE"/>
    <w:rsid w:val="002932A0"/>
    <w:rsid w:val="0029334D"/>
    <w:rsid w:val="00293A5F"/>
    <w:rsid w:val="00293B39"/>
    <w:rsid w:val="002959E4"/>
    <w:rsid w:val="00295DA1"/>
    <w:rsid w:val="00297322"/>
    <w:rsid w:val="00297A99"/>
    <w:rsid w:val="002A042D"/>
    <w:rsid w:val="002A163E"/>
    <w:rsid w:val="002A1DEF"/>
    <w:rsid w:val="002A3658"/>
    <w:rsid w:val="002A37E1"/>
    <w:rsid w:val="002A48B6"/>
    <w:rsid w:val="002A5B6B"/>
    <w:rsid w:val="002A71D0"/>
    <w:rsid w:val="002A7725"/>
    <w:rsid w:val="002A7B35"/>
    <w:rsid w:val="002B05AB"/>
    <w:rsid w:val="002B35F2"/>
    <w:rsid w:val="002B46FE"/>
    <w:rsid w:val="002B5B94"/>
    <w:rsid w:val="002B752B"/>
    <w:rsid w:val="002B7B49"/>
    <w:rsid w:val="002C1451"/>
    <w:rsid w:val="002C15A6"/>
    <w:rsid w:val="002C1A5E"/>
    <w:rsid w:val="002C1DC8"/>
    <w:rsid w:val="002C21EF"/>
    <w:rsid w:val="002C293A"/>
    <w:rsid w:val="002C32B9"/>
    <w:rsid w:val="002C369E"/>
    <w:rsid w:val="002C5326"/>
    <w:rsid w:val="002C5FD7"/>
    <w:rsid w:val="002C656C"/>
    <w:rsid w:val="002C66DC"/>
    <w:rsid w:val="002C71F1"/>
    <w:rsid w:val="002D0707"/>
    <w:rsid w:val="002D3AB8"/>
    <w:rsid w:val="002D47C1"/>
    <w:rsid w:val="002D5305"/>
    <w:rsid w:val="002D677D"/>
    <w:rsid w:val="002D6C8C"/>
    <w:rsid w:val="002D73BB"/>
    <w:rsid w:val="002D7524"/>
    <w:rsid w:val="002E0999"/>
    <w:rsid w:val="002E1773"/>
    <w:rsid w:val="002E18E0"/>
    <w:rsid w:val="002E2A98"/>
    <w:rsid w:val="002E6CA8"/>
    <w:rsid w:val="002E6D21"/>
    <w:rsid w:val="002E77FD"/>
    <w:rsid w:val="002E7923"/>
    <w:rsid w:val="002F0961"/>
    <w:rsid w:val="002F1658"/>
    <w:rsid w:val="002F1929"/>
    <w:rsid w:val="002F2C0A"/>
    <w:rsid w:val="002F5119"/>
    <w:rsid w:val="002F6268"/>
    <w:rsid w:val="002F6D71"/>
    <w:rsid w:val="002F6DA2"/>
    <w:rsid w:val="002F7277"/>
    <w:rsid w:val="002F731E"/>
    <w:rsid w:val="002F737F"/>
    <w:rsid w:val="002F7557"/>
    <w:rsid w:val="00301D92"/>
    <w:rsid w:val="0030259A"/>
    <w:rsid w:val="00302E86"/>
    <w:rsid w:val="003038EB"/>
    <w:rsid w:val="0030470C"/>
    <w:rsid w:val="00304AF3"/>
    <w:rsid w:val="0030603F"/>
    <w:rsid w:val="00306122"/>
    <w:rsid w:val="0030632E"/>
    <w:rsid w:val="00306C83"/>
    <w:rsid w:val="00307686"/>
    <w:rsid w:val="003076F9"/>
    <w:rsid w:val="00310619"/>
    <w:rsid w:val="0031392E"/>
    <w:rsid w:val="00314AC6"/>
    <w:rsid w:val="0031583D"/>
    <w:rsid w:val="0031719C"/>
    <w:rsid w:val="003205B0"/>
    <w:rsid w:val="00320F84"/>
    <w:rsid w:val="003226B1"/>
    <w:rsid w:val="00322FB0"/>
    <w:rsid w:val="003231BD"/>
    <w:rsid w:val="0032406E"/>
    <w:rsid w:val="003243EA"/>
    <w:rsid w:val="00324782"/>
    <w:rsid w:val="00325241"/>
    <w:rsid w:val="003253AA"/>
    <w:rsid w:val="00325948"/>
    <w:rsid w:val="00325C8B"/>
    <w:rsid w:val="003279A2"/>
    <w:rsid w:val="003300B7"/>
    <w:rsid w:val="00330DFA"/>
    <w:rsid w:val="00330EBF"/>
    <w:rsid w:val="0033166E"/>
    <w:rsid w:val="00333814"/>
    <w:rsid w:val="00333FDD"/>
    <w:rsid w:val="00336382"/>
    <w:rsid w:val="00336ACC"/>
    <w:rsid w:val="003400A4"/>
    <w:rsid w:val="00340F6D"/>
    <w:rsid w:val="0034157D"/>
    <w:rsid w:val="003419B6"/>
    <w:rsid w:val="00342556"/>
    <w:rsid w:val="00342A16"/>
    <w:rsid w:val="00345871"/>
    <w:rsid w:val="00346053"/>
    <w:rsid w:val="003466F9"/>
    <w:rsid w:val="00347446"/>
    <w:rsid w:val="00350931"/>
    <w:rsid w:val="003514DB"/>
    <w:rsid w:val="0035385F"/>
    <w:rsid w:val="0035501B"/>
    <w:rsid w:val="0035527A"/>
    <w:rsid w:val="003578E6"/>
    <w:rsid w:val="00357E20"/>
    <w:rsid w:val="003604D1"/>
    <w:rsid w:val="00360D19"/>
    <w:rsid w:val="00361AB6"/>
    <w:rsid w:val="0036298F"/>
    <w:rsid w:val="00362A30"/>
    <w:rsid w:val="00362FA6"/>
    <w:rsid w:val="00363157"/>
    <w:rsid w:val="003632CB"/>
    <w:rsid w:val="0036364A"/>
    <w:rsid w:val="00363B8F"/>
    <w:rsid w:val="003640D1"/>
    <w:rsid w:val="003641B9"/>
    <w:rsid w:val="00370835"/>
    <w:rsid w:val="00371E79"/>
    <w:rsid w:val="0037249B"/>
    <w:rsid w:val="0037286E"/>
    <w:rsid w:val="00372D9C"/>
    <w:rsid w:val="003730E9"/>
    <w:rsid w:val="00373F4A"/>
    <w:rsid w:val="0037450B"/>
    <w:rsid w:val="0037480E"/>
    <w:rsid w:val="00375B7E"/>
    <w:rsid w:val="00375E13"/>
    <w:rsid w:val="00376394"/>
    <w:rsid w:val="00376A8A"/>
    <w:rsid w:val="0037726F"/>
    <w:rsid w:val="003776A0"/>
    <w:rsid w:val="00377919"/>
    <w:rsid w:val="00380D03"/>
    <w:rsid w:val="00380E33"/>
    <w:rsid w:val="003815B5"/>
    <w:rsid w:val="0038172F"/>
    <w:rsid w:val="0038292A"/>
    <w:rsid w:val="00382BB0"/>
    <w:rsid w:val="00383983"/>
    <w:rsid w:val="00383BEC"/>
    <w:rsid w:val="0038512D"/>
    <w:rsid w:val="00385475"/>
    <w:rsid w:val="003859AF"/>
    <w:rsid w:val="0038634B"/>
    <w:rsid w:val="00390E1D"/>
    <w:rsid w:val="00391C1F"/>
    <w:rsid w:val="00392284"/>
    <w:rsid w:val="00392B9D"/>
    <w:rsid w:val="00394C75"/>
    <w:rsid w:val="00395F07"/>
    <w:rsid w:val="00397ADB"/>
    <w:rsid w:val="003A0583"/>
    <w:rsid w:val="003A0785"/>
    <w:rsid w:val="003A261F"/>
    <w:rsid w:val="003A32C8"/>
    <w:rsid w:val="003A3AEE"/>
    <w:rsid w:val="003A3D18"/>
    <w:rsid w:val="003A3DFA"/>
    <w:rsid w:val="003A5701"/>
    <w:rsid w:val="003A5D6E"/>
    <w:rsid w:val="003A70E4"/>
    <w:rsid w:val="003A71B2"/>
    <w:rsid w:val="003A7928"/>
    <w:rsid w:val="003A79AB"/>
    <w:rsid w:val="003B0EAE"/>
    <w:rsid w:val="003B2246"/>
    <w:rsid w:val="003B237F"/>
    <w:rsid w:val="003B2F7F"/>
    <w:rsid w:val="003B5319"/>
    <w:rsid w:val="003B5381"/>
    <w:rsid w:val="003B5573"/>
    <w:rsid w:val="003B72DF"/>
    <w:rsid w:val="003C0389"/>
    <w:rsid w:val="003C047C"/>
    <w:rsid w:val="003C091F"/>
    <w:rsid w:val="003C1C7C"/>
    <w:rsid w:val="003C2002"/>
    <w:rsid w:val="003C376B"/>
    <w:rsid w:val="003C459F"/>
    <w:rsid w:val="003C4934"/>
    <w:rsid w:val="003C5DFE"/>
    <w:rsid w:val="003C5FCF"/>
    <w:rsid w:val="003C69A0"/>
    <w:rsid w:val="003C73E9"/>
    <w:rsid w:val="003D1BC4"/>
    <w:rsid w:val="003D200F"/>
    <w:rsid w:val="003D295C"/>
    <w:rsid w:val="003D2E32"/>
    <w:rsid w:val="003D325D"/>
    <w:rsid w:val="003D32E7"/>
    <w:rsid w:val="003D3CB5"/>
    <w:rsid w:val="003D50E7"/>
    <w:rsid w:val="003D76FC"/>
    <w:rsid w:val="003E032D"/>
    <w:rsid w:val="003E0356"/>
    <w:rsid w:val="003E038E"/>
    <w:rsid w:val="003E0711"/>
    <w:rsid w:val="003E1182"/>
    <w:rsid w:val="003E1C6B"/>
    <w:rsid w:val="003E1E77"/>
    <w:rsid w:val="003E1F2D"/>
    <w:rsid w:val="003E29B4"/>
    <w:rsid w:val="003E2AFD"/>
    <w:rsid w:val="003E30FD"/>
    <w:rsid w:val="003E3393"/>
    <w:rsid w:val="003E6653"/>
    <w:rsid w:val="003E6ED0"/>
    <w:rsid w:val="003E7819"/>
    <w:rsid w:val="003F0526"/>
    <w:rsid w:val="003F0AA2"/>
    <w:rsid w:val="003F1112"/>
    <w:rsid w:val="003F2204"/>
    <w:rsid w:val="003F36D5"/>
    <w:rsid w:val="003F59C1"/>
    <w:rsid w:val="003F5D96"/>
    <w:rsid w:val="003F5F23"/>
    <w:rsid w:val="003F7501"/>
    <w:rsid w:val="003F7DD1"/>
    <w:rsid w:val="00400517"/>
    <w:rsid w:val="004010BA"/>
    <w:rsid w:val="0040258C"/>
    <w:rsid w:val="004039F9"/>
    <w:rsid w:val="00403CE5"/>
    <w:rsid w:val="00403DC2"/>
    <w:rsid w:val="0040620E"/>
    <w:rsid w:val="00406233"/>
    <w:rsid w:val="00408537"/>
    <w:rsid w:val="0041059C"/>
    <w:rsid w:val="00411606"/>
    <w:rsid w:val="00411F24"/>
    <w:rsid w:val="00414A95"/>
    <w:rsid w:val="00415158"/>
    <w:rsid w:val="00415C07"/>
    <w:rsid w:val="00416F38"/>
    <w:rsid w:val="00420B93"/>
    <w:rsid w:val="004219C4"/>
    <w:rsid w:val="00422BBA"/>
    <w:rsid w:val="00423337"/>
    <w:rsid w:val="0042345E"/>
    <w:rsid w:val="00423566"/>
    <w:rsid w:val="00423C16"/>
    <w:rsid w:val="004257BE"/>
    <w:rsid w:val="00426C15"/>
    <w:rsid w:val="00426EF1"/>
    <w:rsid w:val="00427B6F"/>
    <w:rsid w:val="00427BBD"/>
    <w:rsid w:val="0043001A"/>
    <w:rsid w:val="0043390E"/>
    <w:rsid w:val="00433E38"/>
    <w:rsid w:val="00433FDB"/>
    <w:rsid w:val="00434058"/>
    <w:rsid w:val="004349D7"/>
    <w:rsid w:val="0043765C"/>
    <w:rsid w:val="00437C15"/>
    <w:rsid w:val="00441F1A"/>
    <w:rsid w:val="00442DAD"/>
    <w:rsid w:val="00443B3A"/>
    <w:rsid w:val="00443E37"/>
    <w:rsid w:val="00445062"/>
    <w:rsid w:val="004454EC"/>
    <w:rsid w:val="00446C4D"/>
    <w:rsid w:val="004473EC"/>
    <w:rsid w:val="004504CC"/>
    <w:rsid w:val="00451469"/>
    <w:rsid w:val="004528E0"/>
    <w:rsid w:val="004538CA"/>
    <w:rsid w:val="00453D03"/>
    <w:rsid w:val="004541A5"/>
    <w:rsid w:val="00455418"/>
    <w:rsid w:val="004557A9"/>
    <w:rsid w:val="00455D67"/>
    <w:rsid w:val="00456A25"/>
    <w:rsid w:val="0045746D"/>
    <w:rsid w:val="004602C0"/>
    <w:rsid w:val="00460531"/>
    <w:rsid w:val="00460587"/>
    <w:rsid w:val="004614CE"/>
    <w:rsid w:val="004623CC"/>
    <w:rsid w:val="00464148"/>
    <w:rsid w:val="00464C08"/>
    <w:rsid w:val="00464E06"/>
    <w:rsid w:val="00465283"/>
    <w:rsid w:val="00465590"/>
    <w:rsid w:val="00466F17"/>
    <w:rsid w:val="0047047A"/>
    <w:rsid w:val="00470629"/>
    <w:rsid w:val="00471D8D"/>
    <w:rsid w:val="00473091"/>
    <w:rsid w:val="00473173"/>
    <w:rsid w:val="004738B6"/>
    <w:rsid w:val="00473B65"/>
    <w:rsid w:val="0047401A"/>
    <w:rsid w:val="00474A55"/>
    <w:rsid w:val="00475425"/>
    <w:rsid w:val="00475D3E"/>
    <w:rsid w:val="00476BFD"/>
    <w:rsid w:val="004775B2"/>
    <w:rsid w:val="00477924"/>
    <w:rsid w:val="00482AE8"/>
    <w:rsid w:val="004832D9"/>
    <w:rsid w:val="00484715"/>
    <w:rsid w:val="00485D6F"/>
    <w:rsid w:val="004866A5"/>
    <w:rsid w:val="00486AA7"/>
    <w:rsid w:val="00487AAF"/>
    <w:rsid w:val="004908D0"/>
    <w:rsid w:val="004909B3"/>
    <w:rsid w:val="004909C7"/>
    <w:rsid w:val="00490A4B"/>
    <w:rsid w:val="00491D5C"/>
    <w:rsid w:val="00492B40"/>
    <w:rsid w:val="004932E7"/>
    <w:rsid w:val="004936D5"/>
    <w:rsid w:val="00493DF3"/>
    <w:rsid w:val="004952E6"/>
    <w:rsid w:val="00496BA4"/>
    <w:rsid w:val="00496BAC"/>
    <w:rsid w:val="004A0568"/>
    <w:rsid w:val="004A2066"/>
    <w:rsid w:val="004A3FB8"/>
    <w:rsid w:val="004A4B71"/>
    <w:rsid w:val="004A5D7A"/>
    <w:rsid w:val="004A7000"/>
    <w:rsid w:val="004A7513"/>
    <w:rsid w:val="004A7C53"/>
    <w:rsid w:val="004B174F"/>
    <w:rsid w:val="004B1B20"/>
    <w:rsid w:val="004B4B2E"/>
    <w:rsid w:val="004B56C4"/>
    <w:rsid w:val="004B607A"/>
    <w:rsid w:val="004B7C49"/>
    <w:rsid w:val="004C0E5C"/>
    <w:rsid w:val="004C1646"/>
    <w:rsid w:val="004C371A"/>
    <w:rsid w:val="004C3A05"/>
    <w:rsid w:val="004C4A43"/>
    <w:rsid w:val="004C6557"/>
    <w:rsid w:val="004D07D7"/>
    <w:rsid w:val="004D07E3"/>
    <w:rsid w:val="004D0F66"/>
    <w:rsid w:val="004D0F7C"/>
    <w:rsid w:val="004D102B"/>
    <w:rsid w:val="004D1957"/>
    <w:rsid w:val="004D1EE1"/>
    <w:rsid w:val="004D249D"/>
    <w:rsid w:val="004D27B1"/>
    <w:rsid w:val="004D5911"/>
    <w:rsid w:val="004D69C2"/>
    <w:rsid w:val="004D7E17"/>
    <w:rsid w:val="004D7E67"/>
    <w:rsid w:val="004E2BFD"/>
    <w:rsid w:val="004E31E7"/>
    <w:rsid w:val="004E4C06"/>
    <w:rsid w:val="004E51D6"/>
    <w:rsid w:val="004E5AA0"/>
    <w:rsid w:val="004E7BBA"/>
    <w:rsid w:val="004E7F67"/>
    <w:rsid w:val="004F04C6"/>
    <w:rsid w:val="004F0906"/>
    <w:rsid w:val="004F1A17"/>
    <w:rsid w:val="004F23D0"/>
    <w:rsid w:val="004F2AAB"/>
    <w:rsid w:val="004F2DF3"/>
    <w:rsid w:val="004F3CB7"/>
    <w:rsid w:val="004F4602"/>
    <w:rsid w:val="004F4780"/>
    <w:rsid w:val="004F5673"/>
    <w:rsid w:val="004F5D8B"/>
    <w:rsid w:val="004F758B"/>
    <w:rsid w:val="005016DB"/>
    <w:rsid w:val="00501C97"/>
    <w:rsid w:val="005023DE"/>
    <w:rsid w:val="0050252D"/>
    <w:rsid w:val="005026C6"/>
    <w:rsid w:val="00507313"/>
    <w:rsid w:val="005115D1"/>
    <w:rsid w:val="00511734"/>
    <w:rsid w:val="00511D32"/>
    <w:rsid w:val="00514729"/>
    <w:rsid w:val="00514A8B"/>
    <w:rsid w:val="005157EB"/>
    <w:rsid w:val="00516A69"/>
    <w:rsid w:val="00521DD5"/>
    <w:rsid w:val="00521E4D"/>
    <w:rsid w:val="00522D40"/>
    <w:rsid w:val="00522DEC"/>
    <w:rsid w:val="00523DE6"/>
    <w:rsid w:val="005246F5"/>
    <w:rsid w:val="00525953"/>
    <w:rsid w:val="00525DB1"/>
    <w:rsid w:val="005270A4"/>
    <w:rsid w:val="00527BB4"/>
    <w:rsid w:val="00530E1D"/>
    <w:rsid w:val="00531B1F"/>
    <w:rsid w:val="005324F3"/>
    <w:rsid w:val="00532D50"/>
    <w:rsid w:val="00533580"/>
    <w:rsid w:val="00533E90"/>
    <w:rsid w:val="00535CB4"/>
    <w:rsid w:val="00535DAA"/>
    <w:rsid w:val="00537606"/>
    <w:rsid w:val="00537878"/>
    <w:rsid w:val="00537D84"/>
    <w:rsid w:val="0054014C"/>
    <w:rsid w:val="0054059E"/>
    <w:rsid w:val="0054090C"/>
    <w:rsid w:val="005414C4"/>
    <w:rsid w:val="00541FB8"/>
    <w:rsid w:val="0054360B"/>
    <w:rsid w:val="00543DC8"/>
    <w:rsid w:val="00545246"/>
    <w:rsid w:val="0054528E"/>
    <w:rsid w:val="005459FE"/>
    <w:rsid w:val="00546B33"/>
    <w:rsid w:val="00547F23"/>
    <w:rsid w:val="00550A34"/>
    <w:rsid w:val="00550C03"/>
    <w:rsid w:val="00553106"/>
    <w:rsid w:val="005535BC"/>
    <w:rsid w:val="005542C8"/>
    <w:rsid w:val="00554E7A"/>
    <w:rsid w:val="0055558A"/>
    <w:rsid w:val="00557EA6"/>
    <w:rsid w:val="00560A67"/>
    <w:rsid w:val="00561602"/>
    <w:rsid w:val="0056412D"/>
    <w:rsid w:val="00564D15"/>
    <w:rsid w:val="005659A5"/>
    <w:rsid w:val="00566E62"/>
    <w:rsid w:val="005670F4"/>
    <w:rsid w:val="0057087A"/>
    <w:rsid w:val="00570DBB"/>
    <w:rsid w:val="00571DCD"/>
    <w:rsid w:val="0057221A"/>
    <w:rsid w:val="00573143"/>
    <w:rsid w:val="005732A3"/>
    <w:rsid w:val="005766AE"/>
    <w:rsid w:val="00576D67"/>
    <w:rsid w:val="005772AC"/>
    <w:rsid w:val="00577338"/>
    <w:rsid w:val="00577F09"/>
    <w:rsid w:val="005806BE"/>
    <w:rsid w:val="005822BE"/>
    <w:rsid w:val="00582D39"/>
    <w:rsid w:val="005836B1"/>
    <w:rsid w:val="0058569E"/>
    <w:rsid w:val="00585767"/>
    <w:rsid w:val="00585A66"/>
    <w:rsid w:val="00590891"/>
    <w:rsid w:val="00590D96"/>
    <w:rsid w:val="0059110F"/>
    <w:rsid w:val="00592320"/>
    <w:rsid w:val="00592601"/>
    <w:rsid w:val="00592BB5"/>
    <w:rsid w:val="00592D83"/>
    <w:rsid w:val="00593F98"/>
    <w:rsid w:val="00594AE7"/>
    <w:rsid w:val="005A01CD"/>
    <w:rsid w:val="005A0F23"/>
    <w:rsid w:val="005A250F"/>
    <w:rsid w:val="005A3101"/>
    <w:rsid w:val="005A50A5"/>
    <w:rsid w:val="005A55C6"/>
    <w:rsid w:val="005A661E"/>
    <w:rsid w:val="005A69BE"/>
    <w:rsid w:val="005A78BB"/>
    <w:rsid w:val="005B04F0"/>
    <w:rsid w:val="005B09F5"/>
    <w:rsid w:val="005B0D03"/>
    <w:rsid w:val="005B134F"/>
    <w:rsid w:val="005B2B78"/>
    <w:rsid w:val="005B48B5"/>
    <w:rsid w:val="005B5DA9"/>
    <w:rsid w:val="005B69AA"/>
    <w:rsid w:val="005B6F04"/>
    <w:rsid w:val="005B70FC"/>
    <w:rsid w:val="005C047D"/>
    <w:rsid w:val="005C1D3C"/>
    <w:rsid w:val="005C2304"/>
    <w:rsid w:val="005C265D"/>
    <w:rsid w:val="005C2DC2"/>
    <w:rsid w:val="005C321A"/>
    <w:rsid w:val="005C4C20"/>
    <w:rsid w:val="005C4D76"/>
    <w:rsid w:val="005C57C9"/>
    <w:rsid w:val="005C5A5F"/>
    <w:rsid w:val="005C5D93"/>
    <w:rsid w:val="005C5E65"/>
    <w:rsid w:val="005D00BB"/>
    <w:rsid w:val="005D1209"/>
    <w:rsid w:val="005D158B"/>
    <w:rsid w:val="005D1A0A"/>
    <w:rsid w:val="005D30A8"/>
    <w:rsid w:val="005D343C"/>
    <w:rsid w:val="005D3DDC"/>
    <w:rsid w:val="005D6887"/>
    <w:rsid w:val="005E0BD6"/>
    <w:rsid w:val="005E0E6F"/>
    <w:rsid w:val="005E172E"/>
    <w:rsid w:val="005E3D8E"/>
    <w:rsid w:val="005E3FBF"/>
    <w:rsid w:val="005E4E43"/>
    <w:rsid w:val="005E61E8"/>
    <w:rsid w:val="005E6C21"/>
    <w:rsid w:val="005E7EF6"/>
    <w:rsid w:val="005F1BCF"/>
    <w:rsid w:val="005F3126"/>
    <w:rsid w:val="005F4895"/>
    <w:rsid w:val="005F78C7"/>
    <w:rsid w:val="005F794B"/>
    <w:rsid w:val="005F7DD1"/>
    <w:rsid w:val="006024F3"/>
    <w:rsid w:val="00602851"/>
    <w:rsid w:val="006046F7"/>
    <w:rsid w:val="00606804"/>
    <w:rsid w:val="0061183F"/>
    <w:rsid w:val="00611CA6"/>
    <w:rsid w:val="00612A73"/>
    <w:rsid w:val="00612BEC"/>
    <w:rsid w:val="00612ECC"/>
    <w:rsid w:val="00612F66"/>
    <w:rsid w:val="00613A02"/>
    <w:rsid w:val="00613A75"/>
    <w:rsid w:val="00614203"/>
    <w:rsid w:val="00614899"/>
    <w:rsid w:val="006151A9"/>
    <w:rsid w:val="00616A98"/>
    <w:rsid w:val="00621840"/>
    <w:rsid w:val="006237E5"/>
    <w:rsid w:val="00623C15"/>
    <w:rsid w:val="00623DD5"/>
    <w:rsid w:val="00624DE3"/>
    <w:rsid w:val="006268B7"/>
    <w:rsid w:val="006270E3"/>
    <w:rsid w:val="006279D7"/>
    <w:rsid w:val="00627C57"/>
    <w:rsid w:val="00630874"/>
    <w:rsid w:val="00630BAF"/>
    <w:rsid w:val="00631222"/>
    <w:rsid w:val="006315D4"/>
    <w:rsid w:val="00631996"/>
    <w:rsid w:val="006320FA"/>
    <w:rsid w:val="00635256"/>
    <w:rsid w:val="006354F2"/>
    <w:rsid w:val="00635BF7"/>
    <w:rsid w:val="00636EF0"/>
    <w:rsid w:val="006372CB"/>
    <w:rsid w:val="0064083E"/>
    <w:rsid w:val="0064134C"/>
    <w:rsid w:val="006418A9"/>
    <w:rsid w:val="0064194C"/>
    <w:rsid w:val="0064354B"/>
    <w:rsid w:val="0064374D"/>
    <w:rsid w:val="00643922"/>
    <w:rsid w:val="00644570"/>
    <w:rsid w:val="00644A13"/>
    <w:rsid w:val="00646582"/>
    <w:rsid w:val="00646686"/>
    <w:rsid w:val="00646C07"/>
    <w:rsid w:val="006470B0"/>
    <w:rsid w:val="006479C1"/>
    <w:rsid w:val="006479D8"/>
    <w:rsid w:val="0065098C"/>
    <w:rsid w:val="0065129E"/>
    <w:rsid w:val="006519A7"/>
    <w:rsid w:val="006530B0"/>
    <w:rsid w:val="0065533D"/>
    <w:rsid w:val="006571D7"/>
    <w:rsid w:val="00657E26"/>
    <w:rsid w:val="00661208"/>
    <w:rsid w:val="00661D67"/>
    <w:rsid w:val="00661EAD"/>
    <w:rsid w:val="006622A6"/>
    <w:rsid w:val="006622EF"/>
    <w:rsid w:val="006625BE"/>
    <w:rsid w:val="006627B6"/>
    <w:rsid w:val="006641C7"/>
    <w:rsid w:val="006649BE"/>
    <w:rsid w:val="00665457"/>
    <w:rsid w:val="006661E8"/>
    <w:rsid w:val="00666DCA"/>
    <w:rsid w:val="00667508"/>
    <w:rsid w:val="006677D3"/>
    <w:rsid w:val="006702D3"/>
    <w:rsid w:val="0067142F"/>
    <w:rsid w:val="00671A76"/>
    <w:rsid w:val="00671D83"/>
    <w:rsid w:val="006725A2"/>
    <w:rsid w:val="00672DE6"/>
    <w:rsid w:val="006731E6"/>
    <w:rsid w:val="00673A42"/>
    <w:rsid w:val="00673D85"/>
    <w:rsid w:val="00675B3C"/>
    <w:rsid w:val="00676DE7"/>
    <w:rsid w:val="00682839"/>
    <w:rsid w:val="00683B52"/>
    <w:rsid w:val="00685855"/>
    <w:rsid w:val="00686A56"/>
    <w:rsid w:val="006901AB"/>
    <w:rsid w:val="00690247"/>
    <w:rsid w:val="00690395"/>
    <w:rsid w:val="0069040D"/>
    <w:rsid w:val="00692358"/>
    <w:rsid w:val="00692AEC"/>
    <w:rsid w:val="00693808"/>
    <w:rsid w:val="00693DDB"/>
    <w:rsid w:val="00694AF3"/>
    <w:rsid w:val="0069592A"/>
    <w:rsid w:val="00695E93"/>
    <w:rsid w:val="00695F99"/>
    <w:rsid w:val="00697CB9"/>
    <w:rsid w:val="006A0AE9"/>
    <w:rsid w:val="006A0CA3"/>
    <w:rsid w:val="006A17BF"/>
    <w:rsid w:val="006A2A30"/>
    <w:rsid w:val="006A340A"/>
    <w:rsid w:val="006A39FE"/>
    <w:rsid w:val="006A48F4"/>
    <w:rsid w:val="006B21D0"/>
    <w:rsid w:val="006B2A87"/>
    <w:rsid w:val="006B313B"/>
    <w:rsid w:val="006B41FA"/>
    <w:rsid w:val="006B4475"/>
    <w:rsid w:val="006B5749"/>
    <w:rsid w:val="006B646C"/>
    <w:rsid w:val="006B6F2E"/>
    <w:rsid w:val="006C02EB"/>
    <w:rsid w:val="006C0C59"/>
    <w:rsid w:val="006C1DAE"/>
    <w:rsid w:val="006C226E"/>
    <w:rsid w:val="006C2333"/>
    <w:rsid w:val="006C2A6F"/>
    <w:rsid w:val="006C654E"/>
    <w:rsid w:val="006C7042"/>
    <w:rsid w:val="006C730E"/>
    <w:rsid w:val="006D265E"/>
    <w:rsid w:val="006D3EEC"/>
    <w:rsid w:val="006D406B"/>
    <w:rsid w:val="006D425E"/>
    <w:rsid w:val="006D494C"/>
    <w:rsid w:val="006D4A0A"/>
    <w:rsid w:val="006D4FFC"/>
    <w:rsid w:val="006D518D"/>
    <w:rsid w:val="006D55C1"/>
    <w:rsid w:val="006D7B19"/>
    <w:rsid w:val="006E09B1"/>
    <w:rsid w:val="006E18F5"/>
    <w:rsid w:val="006E3409"/>
    <w:rsid w:val="006E4D91"/>
    <w:rsid w:val="006E4ECB"/>
    <w:rsid w:val="006E5B6E"/>
    <w:rsid w:val="006E667A"/>
    <w:rsid w:val="006E76C1"/>
    <w:rsid w:val="006E7B66"/>
    <w:rsid w:val="006F0D58"/>
    <w:rsid w:val="006F0EFD"/>
    <w:rsid w:val="006F2817"/>
    <w:rsid w:val="006F2A33"/>
    <w:rsid w:val="006F340C"/>
    <w:rsid w:val="006F5D60"/>
    <w:rsid w:val="006F65FD"/>
    <w:rsid w:val="006F6B5B"/>
    <w:rsid w:val="007008E9"/>
    <w:rsid w:val="00701991"/>
    <w:rsid w:val="007025A6"/>
    <w:rsid w:val="0070334D"/>
    <w:rsid w:val="0070410D"/>
    <w:rsid w:val="00704C63"/>
    <w:rsid w:val="0070705A"/>
    <w:rsid w:val="00707296"/>
    <w:rsid w:val="00707C02"/>
    <w:rsid w:val="00707E0B"/>
    <w:rsid w:val="00707F37"/>
    <w:rsid w:val="00710C86"/>
    <w:rsid w:val="00711531"/>
    <w:rsid w:val="00712892"/>
    <w:rsid w:val="00712E7F"/>
    <w:rsid w:val="0071398C"/>
    <w:rsid w:val="00713F10"/>
    <w:rsid w:val="00714001"/>
    <w:rsid w:val="00715E80"/>
    <w:rsid w:val="007172C0"/>
    <w:rsid w:val="007201E8"/>
    <w:rsid w:val="00720E2A"/>
    <w:rsid w:val="00722C20"/>
    <w:rsid w:val="007239E2"/>
    <w:rsid w:val="007251FA"/>
    <w:rsid w:val="00725352"/>
    <w:rsid w:val="007259B2"/>
    <w:rsid w:val="007260A0"/>
    <w:rsid w:val="0072719C"/>
    <w:rsid w:val="007322BE"/>
    <w:rsid w:val="00733C3A"/>
    <w:rsid w:val="007342E9"/>
    <w:rsid w:val="00735575"/>
    <w:rsid w:val="007357A0"/>
    <w:rsid w:val="007361B0"/>
    <w:rsid w:val="007361BD"/>
    <w:rsid w:val="00736C19"/>
    <w:rsid w:val="00736E6A"/>
    <w:rsid w:val="00737E2C"/>
    <w:rsid w:val="007401C8"/>
    <w:rsid w:val="00740355"/>
    <w:rsid w:val="00740ADA"/>
    <w:rsid w:val="00740C12"/>
    <w:rsid w:val="007412B0"/>
    <w:rsid w:val="007415DF"/>
    <w:rsid w:val="007418D2"/>
    <w:rsid w:val="007418F7"/>
    <w:rsid w:val="00741E99"/>
    <w:rsid w:val="00743637"/>
    <w:rsid w:val="007439B3"/>
    <w:rsid w:val="007439CD"/>
    <w:rsid w:val="00744182"/>
    <w:rsid w:val="00745856"/>
    <w:rsid w:val="007458E5"/>
    <w:rsid w:val="007469BB"/>
    <w:rsid w:val="00746A1F"/>
    <w:rsid w:val="00747669"/>
    <w:rsid w:val="0074791B"/>
    <w:rsid w:val="00750C9B"/>
    <w:rsid w:val="00750CE9"/>
    <w:rsid w:val="00752781"/>
    <w:rsid w:val="007549C1"/>
    <w:rsid w:val="00755543"/>
    <w:rsid w:val="007558B7"/>
    <w:rsid w:val="007560E6"/>
    <w:rsid w:val="007571A3"/>
    <w:rsid w:val="00760198"/>
    <w:rsid w:val="0076369A"/>
    <w:rsid w:val="0076495C"/>
    <w:rsid w:val="007649D1"/>
    <w:rsid w:val="00765536"/>
    <w:rsid w:val="0076767E"/>
    <w:rsid w:val="00771F89"/>
    <w:rsid w:val="00773346"/>
    <w:rsid w:val="007743B2"/>
    <w:rsid w:val="0077503B"/>
    <w:rsid w:val="0077528E"/>
    <w:rsid w:val="00776102"/>
    <w:rsid w:val="007773D5"/>
    <w:rsid w:val="00777479"/>
    <w:rsid w:val="007806E4"/>
    <w:rsid w:val="00781EB4"/>
    <w:rsid w:val="00782175"/>
    <w:rsid w:val="007834CC"/>
    <w:rsid w:val="00783E33"/>
    <w:rsid w:val="00784B1A"/>
    <w:rsid w:val="00785960"/>
    <w:rsid w:val="00785C69"/>
    <w:rsid w:val="00785D67"/>
    <w:rsid w:val="00787210"/>
    <w:rsid w:val="007878D8"/>
    <w:rsid w:val="0079102D"/>
    <w:rsid w:val="00791D99"/>
    <w:rsid w:val="0079224A"/>
    <w:rsid w:val="00793F72"/>
    <w:rsid w:val="00794D42"/>
    <w:rsid w:val="00795C9F"/>
    <w:rsid w:val="00797885"/>
    <w:rsid w:val="007A0D8F"/>
    <w:rsid w:val="007A1A7F"/>
    <w:rsid w:val="007A2013"/>
    <w:rsid w:val="007A20BB"/>
    <w:rsid w:val="007A29FB"/>
    <w:rsid w:val="007A3010"/>
    <w:rsid w:val="007A3102"/>
    <w:rsid w:val="007A3246"/>
    <w:rsid w:val="007A33A7"/>
    <w:rsid w:val="007A3DD7"/>
    <w:rsid w:val="007A468C"/>
    <w:rsid w:val="007A5837"/>
    <w:rsid w:val="007A732B"/>
    <w:rsid w:val="007B0052"/>
    <w:rsid w:val="007B00C7"/>
    <w:rsid w:val="007B1A9D"/>
    <w:rsid w:val="007B394B"/>
    <w:rsid w:val="007B497F"/>
    <w:rsid w:val="007B6949"/>
    <w:rsid w:val="007B6B2D"/>
    <w:rsid w:val="007B7FA9"/>
    <w:rsid w:val="007C1E63"/>
    <w:rsid w:val="007C2779"/>
    <w:rsid w:val="007C29BB"/>
    <w:rsid w:val="007C2D37"/>
    <w:rsid w:val="007C4497"/>
    <w:rsid w:val="007C456B"/>
    <w:rsid w:val="007C4613"/>
    <w:rsid w:val="007C4C59"/>
    <w:rsid w:val="007C6F68"/>
    <w:rsid w:val="007C76CC"/>
    <w:rsid w:val="007D04DD"/>
    <w:rsid w:val="007D10C9"/>
    <w:rsid w:val="007D2877"/>
    <w:rsid w:val="007D2F6C"/>
    <w:rsid w:val="007D3D87"/>
    <w:rsid w:val="007D45E7"/>
    <w:rsid w:val="007D4AE4"/>
    <w:rsid w:val="007D6138"/>
    <w:rsid w:val="007D6660"/>
    <w:rsid w:val="007D7AB3"/>
    <w:rsid w:val="007E010E"/>
    <w:rsid w:val="007E18B2"/>
    <w:rsid w:val="007E1B1C"/>
    <w:rsid w:val="007E1FC1"/>
    <w:rsid w:val="007E2386"/>
    <w:rsid w:val="007E2543"/>
    <w:rsid w:val="007E79FF"/>
    <w:rsid w:val="007F16FB"/>
    <w:rsid w:val="007F1D52"/>
    <w:rsid w:val="007F305F"/>
    <w:rsid w:val="007F322A"/>
    <w:rsid w:val="007F5032"/>
    <w:rsid w:val="007F578B"/>
    <w:rsid w:val="007F5B38"/>
    <w:rsid w:val="007F5E2E"/>
    <w:rsid w:val="007F5EF1"/>
    <w:rsid w:val="007F5FF2"/>
    <w:rsid w:val="007F771D"/>
    <w:rsid w:val="00800BBD"/>
    <w:rsid w:val="00800C68"/>
    <w:rsid w:val="00801398"/>
    <w:rsid w:val="0080185B"/>
    <w:rsid w:val="0080194D"/>
    <w:rsid w:val="0080486C"/>
    <w:rsid w:val="00804C91"/>
    <w:rsid w:val="0080530B"/>
    <w:rsid w:val="00806554"/>
    <w:rsid w:val="008065E8"/>
    <w:rsid w:val="00810952"/>
    <w:rsid w:val="00810ACF"/>
    <w:rsid w:val="00813743"/>
    <w:rsid w:val="00813FDD"/>
    <w:rsid w:val="00816CB9"/>
    <w:rsid w:val="00817267"/>
    <w:rsid w:val="00821B00"/>
    <w:rsid w:val="00823C29"/>
    <w:rsid w:val="00825D8A"/>
    <w:rsid w:val="00826693"/>
    <w:rsid w:val="00827A3E"/>
    <w:rsid w:val="00831056"/>
    <w:rsid w:val="00831B3C"/>
    <w:rsid w:val="0083264F"/>
    <w:rsid w:val="00833946"/>
    <w:rsid w:val="00835472"/>
    <w:rsid w:val="008355F5"/>
    <w:rsid w:val="00836D1E"/>
    <w:rsid w:val="00837C26"/>
    <w:rsid w:val="00837DFE"/>
    <w:rsid w:val="00842CE9"/>
    <w:rsid w:val="00844ACC"/>
    <w:rsid w:val="00845BDB"/>
    <w:rsid w:val="00847F77"/>
    <w:rsid w:val="008500E1"/>
    <w:rsid w:val="008504E6"/>
    <w:rsid w:val="00850691"/>
    <w:rsid w:val="00850C81"/>
    <w:rsid w:val="00852FD6"/>
    <w:rsid w:val="008532A7"/>
    <w:rsid w:val="008535BF"/>
    <w:rsid w:val="00854D37"/>
    <w:rsid w:val="00855BAC"/>
    <w:rsid w:val="00856B35"/>
    <w:rsid w:val="00856BB6"/>
    <w:rsid w:val="008575F7"/>
    <w:rsid w:val="008607BE"/>
    <w:rsid w:val="0086118B"/>
    <w:rsid w:val="00861608"/>
    <w:rsid w:val="00861BC2"/>
    <w:rsid w:val="00861D54"/>
    <w:rsid w:val="0086200D"/>
    <w:rsid w:val="008624F6"/>
    <w:rsid w:val="00862A99"/>
    <w:rsid w:val="00863465"/>
    <w:rsid w:val="00864A53"/>
    <w:rsid w:val="0086542E"/>
    <w:rsid w:val="008655FE"/>
    <w:rsid w:val="00866060"/>
    <w:rsid w:val="008670CA"/>
    <w:rsid w:val="00867472"/>
    <w:rsid w:val="00870394"/>
    <w:rsid w:val="0087096C"/>
    <w:rsid w:val="00870A7D"/>
    <w:rsid w:val="008711A2"/>
    <w:rsid w:val="00871EC7"/>
    <w:rsid w:val="0087268B"/>
    <w:rsid w:val="00872A15"/>
    <w:rsid w:val="00873136"/>
    <w:rsid w:val="00873E59"/>
    <w:rsid w:val="0087497F"/>
    <w:rsid w:val="00874A7B"/>
    <w:rsid w:val="008758D2"/>
    <w:rsid w:val="008772A3"/>
    <w:rsid w:val="00877D96"/>
    <w:rsid w:val="00880CF9"/>
    <w:rsid w:val="008817E9"/>
    <w:rsid w:val="008822A7"/>
    <w:rsid w:val="00882872"/>
    <w:rsid w:val="00883374"/>
    <w:rsid w:val="00883611"/>
    <w:rsid w:val="00884ABD"/>
    <w:rsid w:val="008860F1"/>
    <w:rsid w:val="00886453"/>
    <w:rsid w:val="00890C27"/>
    <w:rsid w:val="00891BFA"/>
    <w:rsid w:val="00892252"/>
    <w:rsid w:val="00892F27"/>
    <w:rsid w:val="00894A06"/>
    <w:rsid w:val="008961E8"/>
    <w:rsid w:val="008A008D"/>
    <w:rsid w:val="008A0526"/>
    <w:rsid w:val="008A2135"/>
    <w:rsid w:val="008A2930"/>
    <w:rsid w:val="008A3295"/>
    <w:rsid w:val="008A3806"/>
    <w:rsid w:val="008A44BD"/>
    <w:rsid w:val="008A4FB3"/>
    <w:rsid w:val="008A60AD"/>
    <w:rsid w:val="008A6F8D"/>
    <w:rsid w:val="008B0140"/>
    <w:rsid w:val="008B04DF"/>
    <w:rsid w:val="008B0813"/>
    <w:rsid w:val="008B0A9F"/>
    <w:rsid w:val="008B0CDB"/>
    <w:rsid w:val="008B228E"/>
    <w:rsid w:val="008B3856"/>
    <w:rsid w:val="008B3CC8"/>
    <w:rsid w:val="008B3F26"/>
    <w:rsid w:val="008B4A7E"/>
    <w:rsid w:val="008B7744"/>
    <w:rsid w:val="008B7B38"/>
    <w:rsid w:val="008B7BFE"/>
    <w:rsid w:val="008C15C8"/>
    <w:rsid w:val="008C2513"/>
    <w:rsid w:val="008C438F"/>
    <w:rsid w:val="008C4EE4"/>
    <w:rsid w:val="008C5453"/>
    <w:rsid w:val="008C685B"/>
    <w:rsid w:val="008C7449"/>
    <w:rsid w:val="008D0B25"/>
    <w:rsid w:val="008D10FD"/>
    <w:rsid w:val="008D1811"/>
    <w:rsid w:val="008D1DF5"/>
    <w:rsid w:val="008D28F6"/>
    <w:rsid w:val="008D2C98"/>
    <w:rsid w:val="008D318A"/>
    <w:rsid w:val="008D3235"/>
    <w:rsid w:val="008D340E"/>
    <w:rsid w:val="008D3EF4"/>
    <w:rsid w:val="008D443C"/>
    <w:rsid w:val="008D452A"/>
    <w:rsid w:val="008D521E"/>
    <w:rsid w:val="008D61CD"/>
    <w:rsid w:val="008D6E24"/>
    <w:rsid w:val="008D6FDA"/>
    <w:rsid w:val="008D71BB"/>
    <w:rsid w:val="008E1027"/>
    <w:rsid w:val="008E26C5"/>
    <w:rsid w:val="008E2FCF"/>
    <w:rsid w:val="008E34D3"/>
    <w:rsid w:val="008E5A37"/>
    <w:rsid w:val="008E7459"/>
    <w:rsid w:val="008E7644"/>
    <w:rsid w:val="008E77C3"/>
    <w:rsid w:val="008F1117"/>
    <w:rsid w:val="008F1DAF"/>
    <w:rsid w:val="008F1F1D"/>
    <w:rsid w:val="008F229E"/>
    <w:rsid w:val="008F2423"/>
    <w:rsid w:val="008F35C7"/>
    <w:rsid w:val="008F4ED1"/>
    <w:rsid w:val="008F6131"/>
    <w:rsid w:val="008F6726"/>
    <w:rsid w:val="0090016D"/>
    <w:rsid w:val="00900471"/>
    <w:rsid w:val="00902A92"/>
    <w:rsid w:val="00903285"/>
    <w:rsid w:val="009034A9"/>
    <w:rsid w:val="009035A5"/>
    <w:rsid w:val="0090423F"/>
    <w:rsid w:val="00906454"/>
    <w:rsid w:val="00907C3C"/>
    <w:rsid w:val="009102E5"/>
    <w:rsid w:val="00910E3C"/>
    <w:rsid w:val="00911DEA"/>
    <w:rsid w:val="00912573"/>
    <w:rsid w:val="00912DE1"/>
    <w:rsid w:val="00913B76"/>
    <w:rsid w:val="00913DF0"/>
    <w:rsid w:val="009174A8"/>
    <w:rsid w:val="009213E4"/>
    <w:rsid w:val="00922CAA"/>
    <w:rsid w:val="009232FB"/>
    <w:rsid w:val="0092527C"/>
    <w:rsid w:val="00927A8A"/>
    <w:rsid w:val="00927BBD"/>
    <w:rsid w:val="00927D6F"/>
    <w:rsid w:val="009302C1"/>
    <w:rsid w:val="0093362C"/>
    <w:rsid w:val="00933AE0"/>
    <w:rsid w:val="00934C85"/>
    <w:rsid w:val="00935560"/>
    <w:rsid w:val="00935E88"/>
    <w:rsid w:val="00937B46"/>
    <w:rsid w:val="00940E44"/>
    <w:rsid w:val="00941D43"/>
    <w:rsid w:val="00942071"/>
    <w:rsid w:val="00942721"/>
    <w:rsid w:val="00944DDE"/>
    <w:rsid w:val="0094570B"/>
    <w:rsid w:val="00945F6F"/>
    <w:rsid w:val="00946E39"/>
    <w:rsid w:val="00947020"/>
    <w:rsid w:val="0095039A"/>
    <w:rsid w:val="00950B3D"/>
    <w:rsid w:val="00950D58"/>
    <w:rsid w:val="00953497"/>
    <w:rsid w:val="009539D8"/>
    <w:rsid w:val="00954433"/>
    <w:rsid w:val="0095598E"/>
    <w:rsid w:val="00955BCC"/>
    <w:rsid w:val="00955FB0"/>
    <w:rsid w:val="009563B2"/>
    <w:rsid w:val="00956438"/>
    <w:rsid w:val="00956E87"/>
    <w:rsid w:val="00957034"/>
    <w:rsid w:val="00957487"/>
    <w:rsid w:val="00960153"/>
    <w:rsid w:val="009602EA"/>
    <w:rsid w:val="009608D7"/>
    <w:rsid w:val="00961483"/>
    <w:rsid w:val="00961BF9"/>
    <w:rsid w:val="009625D2"/>
    <w:rsid w:val="009640F3"/>
    <w:rsid w:val="009641A7"/>
    <w:rsid w:val="00965C97"/>
    <w:rsid w:val="009664EA"/>
    <w:rsid w:val="00967236"/>
    <w:rsid w:val="0096726D"/>
    <w:rsid w:val="009673EA"/>
    <w:rsid w:val="00970486"/>
    <w:rsid w:val="00971985"/>
    <w:rsid w:val="00972155"/>
    <w:rsid w:val="00972305"/>
    <w:rsid w:val="00973AD4"/>
    <w:rsid w:val="00973BAA"/>
    <w:rsid w:val="009740CE"/>
    <w:rsid w:val="00975B01"/>
    <w:rsid w:val="00981802"/>
    <w:rsid w:val="00981852"/>
    <w:rsid w:val="009825CE"/>
    <w:rsid w:val="00983C01"/>
    <w:rsid w:val="00985F32"/>
    <w:rsid w:val="0098694E"/>
    <w:rsid w:val="00990114"/>
    <w:rsid w:val="009902C9"/>
    <w:rsid w:val="00991749"/>
    <w:rsid w:val="00992549"/>
    <w:rsid w:val="00992FEA"/>
    <w:rsid w:val="009933F3"/>
    <w:rsid w:val="009940FB"/>
    <w:rsid w:val="009943CB"/>
    <w:rsid w:val="00995CB4"/>
    <w:rsid w:val="009960AA"/>
    <w:rsid w:val="00996374"/>
    <w:rsid w:val="009A08B7"/>
    <w:rsid w:val="009A0E61"/>
    <w:rsid w:val="009A3052"/>
    <w:rsid w:val="009A3333"/>
    <w:rsid w:val="009A3DE2"/>
    <w:rsid w:val="009A432A"/>
    <w:rsid w:val="009A4526"/>
    <w:rsid w:val="009A53CD"/>
    <w:rsid w:val="009A5BE0"/>
    <w:rsid w:val="009A723C"/>
    <w:rsid w:val="009B2139"/>
    <w:rsid w:val="009B222B"/>
    <w:rsid w:val="009B24F2"/>
    <w:rsid w:val="009B29C0"/>
    <w:rsid w:val="009B472D"/>
    <w:rsid w:val="009B4D00"/>
    <w:rsid w:val="009B7972"/>
    <w:rsid w:val="009C2CE2"/>
    <w:rsid w:val="009C469C"/>
    <w:rsid w:val="009C49EF"/>
    <w:rsid w:val="009C4BC1"/>
    <w:rsid w:val="009C5048"/>
    <w:rsid w:val="009C5B6B"/>
    <w:rsid w:val="009C6080"/>
    <w:rsid w:val="009C7710"/>
    <w:rsid w:val="009D08F4"/>
    <w:rsid w:val="009D157B"/>
    <w:rsid w:val="009D2245"/>
    <w:rsid w:val="009D2D75"/>
    <w:rsid w:val="009D3B76"/>
    <w:rsid w:val="009D3BE9"/>
    <w:rsid w:val="009D478B"/>
    <w:rsid w:val="009D58AF"/>
    <w:rsid w:val="009D6AB9"/>
    <w:rsid w:val="009D7E10"/>
    <w:rsid w:val="009D7EDA"/>
    <w:rsid w:val="009E13F9"/>
    <w:rsid w:val="009E2836"/>
    <w:rsid w:val="009E52AB"/>
    <w:rsid w:val="009E5F45"/>
    <w:rsid w:val="009E6DB9"/>
    <w:rsid w:val="009E7ABA"/>
    <w:rsid w:val="009E7B78"/>
    <w:rsid w:val="009E7F4A"/>
    <w:rsid w:val="009F248C"/>
    <w:rsid w:val="009F2771"/>
    <w:rsid w:val="009F2CF2"/>
    <w:rsid w:val="009F2E58"/>
    <w:rsid w:val="009F37F9"/>
    <w:rsid w:val="009F38DB"/>
    <w:rsid w:val="009F4356"/>
    <w:rsid w:val="009F51D3"/>
    <w:rsid w:val="009F563D"/>
    <w:rsid w:val="009F663D"/>
    <w:rsid w:val="009F677A"/>
    <w:rsid w:val="009F6C35"/>
    <w:rsid w:val="009F6DB0"/>
    <w:rsid w:val="009F79DA"/>
    <w:rsid w:val="00A000C8"/>
    <w:rsid w:val="00A0084B"/>
    <w:rsid w:val="00A01558"/>
    <w:rsid w:val="00A01F83"/>
    <w:rsid w:val="00A027B0"/>
    <w:rsid w:val="00A0303A"/>
    <w:rsid w:val="00A0489D"/>
    <w:rsid w:val="00A04FDA"/>
    <w:rsid w:val="00A05E24"/>
    <w:rsid w:val="00A063F5"/>
    <w:rsid w:val="00A070B1"/>
    <w:rsid w:val="00A07193"/>
    <w:rsid w:val="00A07500"/>
    <w:rsid w:val="00A07E38"/>
    <w:rsid w:val="00A1063E"/>
    <w:rsid w:val="00A116AF"/>
    <w:rsid w:val="00A12386"/>
    <w:rsid w:val="00A12B12"/>
    <w:rsid w:val="00A12BBB"/>
    <w:rsid w:val="00A12F77"/>
    <w:rsid w:val="00A157AD"/>
    <w:rsid w:val="00A15C9A"/>
    <w:rsid w:val="00A16056"/>
    <w:rsid w:val="00A1731B"/>
    <w:rsid w:val="00A21122"/>
    <w:rsid w:val="00A22E65"/>
    <w:rsid w:val="00A23164"/>
    <w:rsid w:val="00A242CE"/>
    <w:rsid w:val="00A24F78"/>
    <w:rsid w:val="00A25BDD"/>
    <w:rsid w:val="00A25F07"/>
    <w:rsid w:val="00A26E5E"/>
    <w:rsid w:val="00A271A4"/>
    <w:rsid w:val="00A30119"/>
    <w:rsid w:val="00A3112A"/>
    <w:rsid w:val="00A319DB"/>
    <w:rsid w:val="00A32E79"/>
    <w:rsid w:val="00A33645"/>
    <w:rsid w:val="00A34D6C"/>
    <w:rsid w:val="00A3523D"/>
    <w:rsid w:val="00A35C55"/>
    <w:rsid w:val="00A3619B"/>
    <w:rsid w:val="00A3765D"/>
    <w:rsid w:val="00A37A2B"/>
    <w:rsid w:val="00A37C4C"/>
    <w:rsid w:val="00A37FDB"/>
    <w:rsid w:val="00A42833"/>
    <w:rsid w:val="00A42D6F"/>
    <w:rsid w:val="00A4334E"/>
    <w:rsid w:val="00A43649"/>
    <w:rsid w:val="00A448F0"/>
    <w:rsid w:val="00A44FF8"/>
    <w:rsid w:val="00A451F5"/>
    <w:rsid w:val="00A45715"/>
    <w:rsid w:val="00A464D0"/>
    <w:rsid w:val="00A46DFC"/>
    <w:rsid w:val="00A50284"/>
    <w:rsid w:val="00A51E5C"/>
    <w:rsid w:val="00A520E2"/>
    <w:rsid w:val="00A5239E"/>
    <w:rsid w:val="00A52CFC"/>
    <w:rsid w:val="00A53616"/>
    <w:rsid w:val="00A536AF"/>
    <w:rsid w:val="00A53864"/>
    <w:rsid w:val="00A54A36"/>
    <w:rsid w:val="00A557CC"/>
    <w:rsid w:val="00A566E0"/>
    <w:rsid w:val="00A567B7"/>
    <w:rsid w:val="00A57837"/>
    <w:rsid w:val="00A57EED"/>
    <w:rsid w:val="00A601F6"/>
    <w:rsid w:val="00A602E6"/>
    <w:rsid w:val="00A6072A"/>
    <w:rsid w:val="00A60DCF"/>
    <w:rsid w:val="00A61079"/>
    <w:rsid w:val="00A61450"/>
    <w:rsid w:val="00A61512"/>
    <w:rsid w:val="00A6182F"/>
    <w:rsid w:val="00A624C7"/>
    <w:rsid w:val="00A63814"/>
    <w:rsid w:val="00A66F3A"/>
    <w:rsid w:val="00A67175"/>
    <w:rsid w:val="00A67E00"/>
    <w:rsid w:val="00A7084D"/>
    <w:rsid w:val="00A719A6"/>
    <w:rsid w:val="00A7306E"/>
    <w:rsid w:val="00A7341A"/>
    <w:rsid w:val="00A75638"/>
    <w:rsid w:val="00A75B2F"/>
    <w:rsid w:val="00A765D1"/>
    <w:rsid w:val="00A769B6"/>
    <w:rsid w:val="00A77191"/>
    <w:rsid w:val="00A77708"/>
    <w:rsid w:val="00A77739"/>
    <w:rsid w:val="00A7776A"/>
    <w:rsid w:val="00A777F9"/>
    <w:rsid w:val="00A8026A"/>
    <w:rsid w:val="00A8381F"/>
    <w:rsid w:val="00A85984"/>
    <w:rsid w:val="00A85A65"/>
    <w:rsid w:val="00A86061"/>
    <w:rsid w:val="00A87625"/>
    <w:rsid w:val="00A87CFF"/>
    <w:rsid w:val="00A9053A"/>
    <w:rsid w:val="00A91ED0"/>
    <w:rsid w:val="00A942CB"/>
    <w:rsid w:val="00A945B8"/>
    <w:rsid w:val="00A9489C"/>
    <w:rsid w:val="00A94CF2"/>
    <w:rsid w:val="00A96293"/>
    <w:rsid w:val="00A96907"/>
    <w:rsid w:val="00AA0C73"/>
    <w:rsid w:val="00AA113C"/>
    <w:rsid w:val="00AA30A9"/>
    <w:rsid w:val="00AA3AB0"/>
    <w:rsid w:val="00AA4C31"/>
    <w:rsid w:val="00AA6234"/>
    <w:rsid w:val="00AA64AB"/>
    <w:rsid w:val="00AA6950"/>
    <w:rsid w:val="00AA6BAA"/>
    <w:rsid w:val="00AA6FA3"/>
    <w:rsid w:val="00AA765C"/>
    <w:rsid w:val="00AB0517"/>
    <w:rsid w:val="00AB0E9F"/>
    <w:rsid w:val="00AB2777"/>
    <w:rsid w:val="00AB321C"/>
    <w:rsid w:val="00AB49DD"/>
    <w:rsid w:val="00AB5147"/>
    <w:rsid w:val="00AB5B50"/>
    <w:rsid w:val="00AB5D9C"/>
    <w:rsid w:val="00AB682A"/>
    <w:rsid w:val="00AB7BFD"/>
    <w:rsid w:val="00AC05C4"/>
    <w:rsid w:val="00AC0ED0"/>
    <w:rsid w:val="00AC203B"/>
    <w:rsid w:val="00AC26AD"/>
    <w:rsid w:val="00AC4013"/>
    <w:rsid w:val="00AC4556"/>
    <w:rsid w:val="00AC5DE2"/>
    <w:rsid w:val="00AC6303"/>
    <w:rsid w:val="00AC6739"/>
    <w:rsid w:val="00AC76C2"/>
    <w:rsid w:val="00AC7D84"/>
    <w:rsid w:val="00AD0743"/>
    <w:rsid w:val="00AD081B"/>
    <w:rsid w:val="00AD31C1"/>
    <w:rsid w:val="00AD361C"/>
    <w:rsid w:val="00AD4C56"/>
    <w:rsid w:val="00AD57CC"/>
    <w:rsid w:val="00AD5885"/>
    <w:rsid w:val="00AD5BE7"/>
    <w:rsid w:val="00AD6FD2"/>
    <w:rsid w:val="00AD6FDC"/>
    <w:rsid w:val="00AE0565"/>
    <w:rsid w:val="00AE1480"/>
    <w:rsid w:val="00AE166B"/>
    <w:rsid w:val="00AE1B90"/>
    <w:rsid w:val="00AE22A6"/>
    <w:rsid w:val="00AE4F73"/>
    <w:rsid w:val="00AE5212"/>
    <w:rsid w:val="00AE5BCE"/>
    <w:rsid w:val="00AE675D"/>
    <w:rsid w:val="00AE68CE"/>
    <w:rsid w:val="00AE79C3"/>
    <w:rsid w:val="00AF1F64"/>
    <w:rsid w:val="00AF2545"/>
    <w:rsid w:val="00AF28CB"/>
    <w:rsid w:val="00AF3C4E"/>
    <w:rsid w:val="00AF556F"/>
    <w:rsid w:val="00AF5CAA"/>
    <w:rsid w:val="00AF61E0"/>
    <w:rsid w:val="00AF65D2"/>
    <w:rsid w:val="00AF70A7"/>
    <w:rsid w:val="00AF7941"/>
    <w:rsid w:val="00AF7F1B"/>
    <w:rsid w:val="00B0034B"/>
    <w:rsid w:val="00B00E87"/>
    <w:rsid w:val="00B046DF"/>
    <w:rsid w:val="00B04E71"/>
    <w:rsid w:val="00B0592E"/>
    <w:rsid w:val="00B076A0"/>
    <w:rsid w:val="00B10784"/>
    <w:rsid w:val="00B11D9C"/>
    <w:rsid w:val="00B1392C"/>
    <w:rsid w:val="00B1419A"/>
    <w:rsid w:val="00B15022"/>
    <w:rsid w:val="00B20BD2"/>
    <w:rsid w:val="00B22EFA"/>
    <w:rsid w:val="00B23F66"/>
    <w:rsid w:val="00B259AC"/>
    <w:rsid w:val="00B2638C"/>
    <w:rsid w:val="00B2704C"/>
    <w:rsid w:val="00B272CA"/>
    <w:rsid w:val="00B277F8"/>
    <w:rsid w:val="00B27A76"/>
    <w:rsid w:val="00B3118F"/>
    <w:rsid w:val="00B3289B"/>
    <w:rsid w:val="00B32A90"/>
    <w:rsid w:val="00B33BC3"/>
    <w:rsid w:val="00B3640B"/>
    <w:rsid w:val="00B367A1"/>
    <w:rsid w:val="00B3762D"/>
    <w:rsid w:val="00B40272"/>
    <w:rsid w:val="00B447F8"/>
    <w:rsid w:val="00B44CDF"/>
    <w:rsid w:val="00B45CCB"/>
    <w:rsid w:val="00B512E9"/>
    <w:rsid w:val="00B52790"/>
    <w:rsid w:val="00B539A6"/>
    <w:rsid w:val="00B53DC2"/>
    <w:rsid w:val="00B54853"/>
    <w:rsid w:val="00B54ABE"/>
    <w:rsid w:val="00B5594E"/>
    <w:rsid w:val="00B55A27"/>
    <w:rsid w:val="00B56450"/>
    <w:rsid w:val="00B56D9B"/>
    <w:rsid w:val="00B6071A"/>
    <w:rsid w:val="00B60802"/>
    <w:rsid w:val="00B6160C"/>
    <w:rsid w:val="00B621A2"/>
    <w:rsid w:val="00B62FB2"/>
    <w:rsid w:val="00B65B1A"/>
    <w:rsid w:val="00B65E36"/>
    <w:rsid w:val="00B66DE6"/>
    <w:rsid w:val="00B671F1"/>
    <w:rsid w:val="00B67A4D"/>
    <w:rsid w:val="00B72738"/>
    <w:rsid w:val="00B7368F"/>
    <w:rsid w:val="00B73ED6"/>
    <w:rsid w:val="00B75653"/>
    <w:rsid w:val="00B77434"/>
    <w:rsid w:val="00B812F3"/>
    <w:rsid w:val="00B815DF"/>
    <w:rsid w:val="00B830DB"/>
    <w:rsid w:val="00B83705"/>
    <w:rsid w:val="00B838A9"/>
    <w:rsid w:val="00B84018"/>
    <w:rsid w:val="00B84F42"/>
    <w:rsid w:val="00B859BC"/>
    <w:rsid w:val="00B85CB1"/>
    <w:rsid w:val="00B874C6"/>
    <w:rsid w:val="00B91F4D"/>
    <w:rsid w:val="00B92C91"/>
    <w:rsid w:val="00B938CA"/>
    <w:rsid w:val="00B938F0"/>
    <w:rsid w:val="00B946A9"/>
    <w:rsid w:val="00B949C1"/>
    <w:rsid w:val="00B95CD7"/>
    <w:rsid w:val="00BA035A"/>
    <w:rsid w:val="00BA0900"/>
    <w:rsid w:val="00BA0A08"/>
    <w:rsid w:val="00BA3038"/>
    <w:rsid w:val="00BA3044"/>
    <w:rsid w:val="00BA3D37"/>
    <w:rsid w:val="00BA4AFA"/>
    <w:rsid w:val="00BA4C41"/>
    <w:rsid w:val="00BA4D38"/>
    <w:rsid w:val="00BA4EEF"/>
    <w:rsid w:val="00BA5632"/>
    <w:rsid w:val="00BB08D7"/>
    <w:rsid w:val="00BB0C17"/>
    <w:rsid w:val="00BB1CE6"/>
    <w:rsid w:val="00BB36B2"/>
    <w:rsid w:val="00BB60A5"/>
    <w:rsid w:val="00BB60FD"/>
    <w:rsid w:val="00BB68ED"/>
    <w:rsid w:val="00BB743C"/>
    <w:rsid w:val="00BB7C81"/>
    <w:rsid w:val="00BB7E33"/>
    <w:rsid w:val="00BC1FBA"/>
    <w:rsid w:val="00BC239F"/>
    <w:rsid w:val="00BC2C27"/>
    <w:rsid w:val="00BC3A25"/>
    <w:rsid w:val="00BC50AB"/>
    <w:rsid w:val="00BC629D"/>
    <w:rsid w:val="00BC6329"/>
    <w:rsid w:val="00BC63EA"/>
    <w:rsid w:val="00BD0696"/>
    <w:rsid w:val="00BD0FD0"/>
    <w:rsid w:val="00BD13CA"/>
    <w:rsid w:val="00BD1452"/>
    <w:rsid w:val="00BD15BE"/>
    <w:rsid w:val="00BD1859"/>
    <w:rsid w:val="00BD1FE0"/>
    <w:rsid w:val="00BD29DD"/>
    <w:rsid w:val="00BD4065"/>
    <w:rsid w:val="00BD4B82"/>
    <w:rsid w:val="00BD4FBA"/>
    <w:rsid w:val="00BD7831"/>
    <w:rsid w:val="00BD7DF5"/>
    <w:rsid w:val="00BE09EA"/>
    <w:rsid w:val="00BE0D8D"/>
    <w:rsid w:val="00BE1823"/>
    <w:rsid w:val="00BE3393"/>
    <w:rsid w:val="00BE5776"/>
    <w:rsid w:val="00BE5C9D"/>
    <w:rsid w:val="00BE5EEC"/>
    <w:rsid w:val="00BE5FFA"/>
    <w:rsid w:val="00BE6238"/>
    <w:rsid w:val="00BE6C89"/>
    <w:rsid w:val="00BE7636"/>
    <w:rsid w:val="00BF0C6A"/>
    <w:rsid w:val="00BF226F"/>
    <w:rsid w:val="00BF22FE"/>
    <w:rsid w:val="00BF292C"/>
    <w:rsid w:val="00BF34EF"/>
    <w:rsid w:val="00BF3975"/>
    <w:rsid w:val="00BF43EE"/>
    <w:rsid w:val="00BF585D"/>
    <w:rsid w:val="00BF64E5"/>
    <w:rsid w:val="00BF761F"/>
    <w:rsid w:val="00C00DC3"/>
    <w:rsid w:val="00C02142"/>
    <w:rsid w:val="00C049CB"/>
    <w:rsid w:val="00C04F2A"/>
    <w:rsid w:val="00C0594B"/>
    <w:rsid w:val="00C060A8"/>
    <w:rsid w:val="00C06359"/>
    <w:rsid w:val="00C0667B"/>
    <w:rsid w:val="00C0671C"/>
    <w:rsid w:val="00C078E4"/>
    <w:rsid w:val="00C10276"/>
    <w:rsid w:val="00C10F65"/>
    <w:rsid w:val="00C12018"/>
    <w:rsid w:val="00C16A90"/>
    <w:rsid w:val="00C171A4"/>
    <w:rsid w:val="00C173FD"/>
    <w:rsid w:val="00C174E8"/>
    <w:rsid w:val="00C17FBC"/>
    <w:rsid w:val="00C2059B"/>
    <w:rsid w:val="00C20794"/>
    <w:rsid w:val="00C21ED2"/>
    <w:rsid w:val="00C220CC"/>
    <w:rsid w:val="00C227AA"/>
    <w:rsid w:val="00C228ED"/>
    <w:rsid w:val="00C23FAE"/>
    <w:rsid w:val="00C24E20"/>
    <w:rsid w:val="00C25576"/>
    <w:rsid w:val="00C26287"/>
    <w:rsid w:val="00C26454"/>
    <w:rsid w:val="00C26FD6"/>
    <w:rsid w:val="00C30351"/>
    <w:rsid w:val="00C30B78"/>
    <w:rsid w:val="00C313E4"/>
    <w:rsid w:val="00C31FB5"/>
    <w:rsid w:val="00C348BC"/>
    <w:rsid w:val="00C3542F"/>
    <w:rsid w:val="00C37BD6"/>
    <w:rsid w:val="00C407A6"/>
    <w:rsid w:val="00C407E6"/>
    <w:rsid w:val="00C41080"/>
    <w:rsid w:val="00C4166D"/>
    <w:rsid w:val="00C41E77"/>
    <w:rsid w:val="00C42F4F"/>
    <w:rsid w:val="00C4338D"/>
    <w:rsid w:val="00C43EE7"/>
    <w:rsid w:val="00C451FE"/>
    <w:rsid w:val="00C470FE"/>
    <w:rsid w:val="00C50483"/>
    <w:rsid w:val="00C51DD6"/>
    <w:rsid w:val="00C53213"/>
    <w:rsid w:val="00C542AB"/>
    <w:rsid w:val="00C54363"/>
    <w:rsid w:val="00C55D75"/>
    <w:rsid w:val="00C55FCD"/>
    <w:rsid w:val="00C60FE4"/>
    <w:rsid w:val="00C610F2"/>
    <w:rsid w:val="00C61CD3"/>
    <w:rsid w:val="00C626A2"/>
    <w:rsid w:val="00C626A6"/>
    <w:rsid w:val="00C641EC"/>
    <w:rsid w:val="00C64247"/>
    <w:rsid w:val="00C67FFB"/>
    <w:rsid w:val="00C72B43"/>
    <w:rsid w:val="00C72CEE"/>
    <w:rsid w:val="00C72F98"/>
    <w:rsid w:val="00C73216"/>
    <w:rsid w:val="00C748F7"/>
    <w:rsid w:val="00C74968"/>
    <w:rsid w:val="00C75151"/>
    <w:rsid w:val="00C755DA"/>
    <w:rsid w:val="00C756DE"/>
    <w:rsid w:val="00C769B1"/>
    <w:rsid w:val="00C77085"/>
    <w:rsid w:val="00C77480"/>
    <w:rsid w:val="00C774B0"/>
    <w:rsid w:val="00C77A4B"/>
    <w:rsid w:val="00C80532"/>
    <w:rsid w:val="00C80839"/>
    <w:rsid w:val="00C81582"/>
    <w:rsid w:val="00C82A59"/>
    <w:rsid w:val="00C82D52"/>
    <w:rsid w:val="00C8309D"/>
    <w:rsid w:val="00C83187"/>
    <w:rsid w:val="00C83996"/>
    <w:rsid w:val="00C8493F"/>
    <w:rsid w:val="00C8504E"/>
    <w:rsid w:val="00C853CB"/>
    <w:rsid w:val="00C8586A"/>
    <w:rsid w:val="00C85E06"/>
    <w:rsid w:val="00C87864"/>
    <w:rsid w:val="00C91B58"/>
    <w:rsid w:val="00C920AF"/>
    <w:rsid w:val="00C94047"/>
    <w:rsid w:val="00C96929"/>
    <w:rsid w:val="00C970F3"/>
    <w:rsid w:val="00C972C9"/>
    <w:rsid w:val="00C97B33"/>
    <w:rsid w:val="00CA09C5"/>
    <w:rsid w:val="00CA15CE"/>
    <w:rsid w:val="00CA15E9"/>
    <w:rsid w:val="00CA16E0"/>
    <w:rsid w:val="00CA279E"/>
    <w:rsid w:val="00CA3D61"/>
    <w:rsid w:val="00CA445D"/>
    <w:rsid w:val="00CA5988"/>
    <w:rsid w:val="00CA62A0"/>
    <w:rsid w:val="00CB02F8"/>
    <w:rsid w:val="00CB098C"/>
    <w:rsid w:val="00CB13E1"/>
    <w:rsid w:val="00CB2775"/>
    <w:rsid w:val="00CB2850"/>
    <w:rsid w:val="00CB2E1F"/>
    <w:rsid w:val="00CB2E58"/>
    <w:rsid w:val="00CB4334"/>
    <w:rsid w:val="00CB4519"/>
    <w:rsid w:val="00CB53BF"/>
    <w:rsid w:val="00CB706F"/>
    <w:rsid w:val="00CB76F2"/>
    <w:rsid w:val="00CC1213"/>
    <w:rsid w:val="00CC19F2"/>
    <w:rsid w:val="00CC1DB9"/>
    <w:rsid w:val="00CC26F3"/>
    <w:rsid w:val="00CC2D8B"/>
    <w:rsid w:val="00CC6B8D"/>
    <w:rsid w:val="00CC6D46"/>
    <w:rsid w:val="00CC7684"/>
    <w:rsid w:val="00CC78F5"/>
    <w:rsid w:val="00CC7952"/>
    <w:rsid w:val="00CD1805"/>
    <w:rsid w:val="00CD2154"/>
    <w:rsid w:val="00CD48ED"/>
    <w:rsid w:val="00CD5592"/>
    <w:rsid w:val="00CD5C61"/>
    <w:rsid w:val="00CD695A"/>
    <w:rsid w:val="00CD6EBE"/>
    <w:rsid w:val="00CD7195"/>
    <w:rsid w:val="00CE092E"/>
    <w:rsid w:val="00CE1FDF"/>
    <w:rsid w:val="00CE2169"/>
    <w:rsid w:val="00CE2725"/>
    <w:rsid w:val="00CE29CC"/>
    <w:rsid w:val="00CE401E"/>
    <w:rsid w:val="00CE4376"/>
    <w:rsid w:val="00CE5106"/>
    <w:rsid w:val="00CE56F1"/>
    <w:rsid w:val="00CE6859"/>
    <w:rsid w:val="00CE6E1B"/>
    <w:rsid w:val="00CE7766"/>
    <w:rsid w:val="00CE7DB9"/>
    <w:rsid w:val="00CF053F"/>
    <w:rsid w:val="00CF0CD9"/>
    <w:rsid w:val="00CF22CB"/>
    <w:rsid w:val="00CF2814"/>
    <w:rsid w:val="00CF2EA8"/>
    <w:rsid w:val="00CF3D6C"/>
    <w:rsid w:val="00CF3F8F"/>
    <w:rsid w:val="00CF6AF2"/>
    <w:rsid w:val="00CF6ED1"/>
    <w:rsid w:val="00CF7E0F"/>
    <w:rsid w:val="00D00284"/>
    <w:rsid w:val="00D00293"/>
    <w:rsid w:val="00D005CE"/>
    <w:rsid w:val="00D01AF1"/>
    <w:rsid w:val="00D01D45"/>
    <w:rsid w:val="00D0287C"/>
    <w:rsid w:val="00D03D4C"/>
    <w:rsid w:val="00D03ED0"/>
    <w:rsid w:val="00D055DF"/>
    <w:rsid w:val="00D05BFB"/>
    <w:rsid w:val="00D06BAD"/>
    <w:rsid w:val="00D072F7"/>
    <w:rsid w:val="00D075C8"/>
    <w:rsid w:val="00D10196"/>
    <w:rsid w:val="00D10E78"/>
    <w:rsid w:val="00D10F48"/>
    <w:rsid w:val="00D1104E"/>
    <w:rsid w:val="00D11775"/>
    <w:rsid w:val="00D11C3E"/>
    <w:rsid w:val="00D13BCD"/>
    <w:rsid w:val="00D13FFF"/>
    <w:rsid w:val="00D165B4"/>
    <w:rsid w:val="00D16D68"/>
    <w:rsid w:val="00D21795"/>
    <w:rsid w:val="00D22D92"/>
    <w:rsid w:val="00D2331C"/>
    <w:rsid w:val="00D24BBB"/>
    <w:rsid w:val="00D24EFE"/>
    <w:rsid w:val="00D25212"/>
    <w:rsid w:val="00D2591E"/>
    <w:rsid w:val="00D25F64"/>
    <w:rsid w:val="00D26184"/>
    <w:rsid w:val="00D26E66"/>
    <w:rsid w:val="00D273A8"/>
    <w:rsid w:val="00D278B7"/>
    <w:rsid w:val="00D2796E"/>
    <w:rsid w:val="00D31BE5"/>
    <w:rsid w:val="00D31E32"/>
    <w:rsid w:val="00D325CF"/>
    <w:rsid w:val="00D3289B"/>
    <w:rsid w:val="00D32E9B"/>
    <w:rsid w:val="00D33E62"/>
    <w:rsid w:val="00D35849"/>
    <w:rsid w:val="00D35E93"/>
    <w:rsid w:val="00D36294"/>
    <w:rsid w:val="00D36548"/>
    <w:rsid w:val="00D36FC3"/>
    <w:rsid w:val="00D37897"/>
    <w:rsid w:val="00D37A98"/>
    <w:rsid w:val="00D37B50"/>
    <w:rsid w:val="00D40752"/>
    <w:rsid w:val="00D40B99"/>
    <w:rsid w:val="00D41BD5"/>
    <w:rsid w:val="00D41C77"/>
    <w:rsid w:val="00D41CCF"/>
    <w:rsid w:val="00D4284C"/>
    <w:rsid w:val="00D42E4A"/>
    <w:rsid w:val="00D45007"/>
    <w:rsid w:val="00D453C4"/>
    <w:rsid w:val="00D4545F"/>
    <w:rsid w:val="00D46CED"/>
    <w:rsid w:val="00D47110"/>
    <w:rsid w:val="00D50B5E"/>
    <w:rsid w:val="00D5119C"/>
    <w:rsid w:val="00D51F21"/>
    <w:rsid w:val="00D523ED"/>
    <w:rsid w:val="00D52D6C"/>
    <w:rsid w:val="00D53113"/>
    <w:rsid w:val="00D545C6"/>
    <w:rsid w:val="00D54A49"/>
    <w:rsid w:val="00D558A3"/>
    <w:rsid w:val="00D561D9"/>
    <w:rsid w:val="00D56A27"/>
    <w:rsid w:val="00D56D60"/>
    <w:rsid w:val="00D60CD7"/>
    <w:rsid w:val="00D62E73"/>
    <w:rsid w:val="00D63A8E"/>
    <w:rsid w:val="00D63C79"/>
    <w:rsid w:val="00D6563F"/>
    <w:rsid w:val="00D66F1D"/>
    <w:rsid w:val="00D6724A"/>
    <w:rsid w:val="00D678A4"/>
    <w:rsid w:val="00D70093"/>
    <w:rsid w:val="00D700B8"/>
    <w:rsid w:val="00D701D0"/>
    <w:rsid w:val="00D70DAD"/>
    <w:rsid w:val="00D70E8B"/>
    <w:rsid w:val="00D71C02"/>
    <w:rsid w:val="00D73718"/>
    <w:rsid w:val="00D7419B"/>
    <w:rsid w:val="00D748F4"/>
    <w:rsid w:val="00D74F7C"/>
    <w:rsid w:val="00D75823"/>
    <w:rsid w:val="00D76AC1"/>
    <w:rsid w:val="00D77348"/>
    <w:rsid w:val="00D77C08"/>
    <w:rsid w:val="00D806E9"/>
    <w:rsid w:val="00D809A1"/>
    <w:rsid w:val="00D8140D"/>
    <w:rsid w:val="00D814BA"/>
    <w:rsid w:val="00D844FB"/>
    <w:rsid w:val="00D845D7"/>
    <w:rsid w:val="00D857AA"/>
    <w:rsid w:val="00D86423"/>
    <w:rsid w:val="00D87E52"/>
    <w:rsid w:val="00D9137C"/>
    <w:rsid w:val="00D922AD"/>
    <w:rsid w:val="00D9251D"/>
    <w:rsid w:val="00D926E2"/>
    <w:rsid w:val="00D96C20"/>
    <w:rsid w:val="00D96EB9"/>
    <w:rsid w:val="00D9728A"/>
    <w:rsid w:val="00DA019B"/>
    <w:rsid w:val="00DA0C72"/>
    <w:rsid w:val="00DA0D7F"/>
    <w:rsid w:val="00DA1051"/>
    <w:rsid w:val="00DA1CA1"/>
    <w:rsid w:val="00DA28EC"/>
    <w:rsid w:val="00DA4535"/>
    <w:rsid w:val="00DA4757"/>
    <w:rsid w:val="00DA5FBD"/>
    <w:rsid w:val="00DA6B4A"/>
    <w:rsid w:val="00DA6B6C"/>
    <w:rsid w:val="00DA7011"/>
    <w:rsid w:val="00DB0DB8"/>
    <w:rsid w:val="00DB15D7"/>
    <w:rsid w:val="00DB20FD"/>
    <w:rsid w:val="00DB37AC"/>
    <w:rsid w:val="00DB41C6"/>
    <w:rsid w:val="00DB6010"/>
    <w:rsid w:val="00DB666C"/>
    <w:rsid w:val="00DB6A34"/>
    <w:rsid w:val="00DB7E58"/>
    <w:rsid w:val="00DC057E"/>
    <w:rsid w:val="00DC15FF"/>
    <w:rsid w:val="00DC2B22"/>
    <w:rsid w:val="00DC33FB"/>
    <w:rsid w:val="00DC4EDF"/>
    <w:rsid w:val="00DC5952"/>
    <w:rsid w:val="00DC5B71"/>
    <w:rsid w:val="00DC5B7D"/>
    <w:rsid w:val="00DC5BF7"/>
    <w:rsid w:val="00DC5FF4"/>
    <w:rsid w:val="00DC6099"/>
    <w:rsid w:val="00DC637A"/>
    <w:rsid w:val="00DC64A5"/>
    <w:rsid w:val="00DC6CA0"/>
    <w:rsid w:val="00DC70BF"/>
    <w:rsid w:val="00DC75E7"/>
    <w:rsid w:val="00DD3397"/>
    <w:rsid w:val="00DD3FB0"/>
    <w:rsid w:val="00DD43B8"/>
    <w:rsid w:val="00DD451E"/>
    <w:rsid w:val="00DD4CE2"/>
    <w:rsid w:val="00DD6508"/>
    <w:rsid w:val="00DE1552"/>
    <w:rsid w:val="00DE359D"/>
    <w:rsid w:val="00DE425B"/>
    <w:rsid w:val="00DE7B54"/>
    <w:rsid w:val="00DF0A5C"/>
    <w:rsid w:val="00DF21DE"/>
    <w:rsid w:val="00DF251D"/>
    <w:rsid w:val="00DF3075"/>
    <w:rsid w:val="00DF30BE"/>
    <w:rsid w:val="00DF36F9"/>
    <w:rsid w:val="00DF3C45"/>
    <w:rsid w:val="00DF4FE2"/>
    <w:rsid w:val="00DF7CBD"/>
    <w:rsid w:val="00E02EFE"/>
    <w:rsid w:val="00E03338"/>
    <w:rsid w:val="00E033AD"/>
    <w:rsid w:val="00E04A3A"/>
    <w:rsid w:val="00E06343"/>
    <w:rsid w:val="00E06E8F"/>
    <w:rsid w:val="00E10A75"/>
    <w:rsid w:val="00E10BEC"/>
    <w:rsid w:val="00E11684"/>
    <w:rsid w:val="00E11736"/>
    <w:rsid w:val="00E15983"/>
    <w:rsid w:val="00E16418"/>
    <w:rsid w:val="00E168F8"/>
    <w:rsid w:val="00E1726D"/>
    <w:rsid w:val="00E23218"/>
    <w:rsid w:val="00E2424A"/>
    <w:rsid w:val="00E250BD"/>
    <w:rsid w:val="00E265E0"/>
    <w:rsid w:val="00E26FBD"/>
    <w:rsid w:val="00E303CB"/>
    <w:rsid w:val="00E318C2"/>
    <w:rsid w:val="00E31F22"/>
    <w:rsid w:val="00E33207"/>
    <w:rsid w:val="00E334E2"/>
    <w:rsid w:val="00E33A5E"/>
    <w:rsid w:val="00E34198"/>
    <w:rsid w:val="00E3443F"/>
    <w:rsid w:val="00E3478E"/>
    <w:rsid w:val="00E356AF"/>
    <w:rsid w:val="00E40E32"/>
    <w:rsid w:val="00E4167A"/>
    <w:rsid w:val="00E41BB1"/>
    <w:rsid w:val="00E449F8"/>
    <w:rsid w:val="00E461E6"/>
    <w:rsid w:val="00E47D16"/>
    <w:rsid w:val="00E505D4"/>
    <w:rsid w:val="00E50BE3"/>
    <w:rsid w:val="00E51A27"/>
    <w:rsid w:val="00E51B9F"/>
    <w:rsid w:val="00E51DB9"/>
    <w:rsid w:val="00E51EAB"/>
    <w:rsid w:val="00E52DE7"/>
    <w:rsid w:val="00E52F90"/>
    <w:rsid w:val="00E53528"/>
    <w:rsid w:val="00E54E02"/>
    <w:rsid w:val="00E555CD"/>
    <w:rsid w:val="00E5574E"/>
    <w:rsid w:val="00E57446"/>
    <w:rsid w:val="00E60576"/>
    <w:rsid w:val="00E60FBE"/>
    <w:rsid w:val="00E62391"/>
    <w:rsid w:val="00E626AF"/>
    <w:rsid w:val="00E62E5C"/>
    <w:rsid w:val="00E63A42"/>
    <w:rsid w:val="00E657D4"/>
    <w:rsid w:val="00E67ABC"/>
    <w:rsid w:val="00E6E00F"/>
    <w:rsid w:val="00E70972"/>
    <w:rsid w:val="00E719C5"/>
    <w:rsid w:val="00E71DAC"/>
    <w:rsid w:val="00E72C0F"/>
    <w:rsid w:val="00E73971"/>
    <w:rsid w:val="00E74523"/>
    <w:rsid w:val="00E76431"/>
    <w:rsid w:val="00E778CE"/>
    <w:rsid w:val="00E77D07"/>
    <w:rsid w:val="00E806F5"/>
    <w:rsid w:val="00E80A91"/>
    <w:rsid w:val="00E81B18"/>
    <w:rsid w:val="00E81E09"/>
    <w:rsid w:val="00E8238B"/>
    <w:rsid w:val="00E82C3C"/>
    <w:rsid w:val="00E82F3A"/>
    <w:rsid w:val="00E83F1F"/>
    <w:rsid w:val="00E84EBB"/>
    <w:rsid w:val="00E85583"/>
    <w:rsid w:val="00E85A3A"/>
    <w:rsid w:val="00E85B5D"/>
    <w:rsid w:val="00E87C73"/>
    <w:rsid w:val="00E91C2B"/>
    <w:rsid w:val="00E926B6"/>
    <w:rsid w:val="00E929B3"/>
    <w:rsid w:val="00E92B11"/>
    <w:rsid w:val="00E9335F"/>
    <w:rsid w:val="00E93C4E"/>
    <w:rsid w:val="00E94612"/>
    <w:rsid w:val="00E946C3"/>
    <w:rsid w:val="00E958CB"/>
    <w:rsid w:val="00E959A9"/>
    <w:rsid w:val="00E95B46"/>
    <w:rsid w:val="00E966A2"/>
    <w:rsid w:val="00E96762"/>
    <w:rsid w:val="00EA0A06"/>
    <w:rsid w:val="00EA2EC3"/>
    <w:rsid w:val="00EA4C05"/>
    <w:rsid w:val="00EA5F22"/>
    <w:rsid w:val="00EA74F1"/>
    <w:rsid w:val="00EA750B"/>
    <w:rsid w:val="00EA7EFA"/>
    <w:rsid w:val="00EB00E0"/>
    <w:rsid w:val="00EB1285"/>
    <w:rsid w:val="00EB14B9"/>
    <w:rsid w:val="00EB289B"/>
    <w:rsid w:val="00EB2D23"/>
    <w:rsid w:val="00EB3323"/>
    <w:rsid w:val="00EB336D"/>
    <w:rsid w:val="00EB3C21"/>
    <w:rsid w:val="00EB52BF"/>
    <w:rsid w:val="00EB579F"/>
    <w:rsid w:val="00EB6359"/>
    <w:rsid w:val="00EB75C3"/>
    <w:rsid w:val="00EC03DB"/>
    <w:rsid w:val="00EC296C"/>
    <w:rsid w:val="00EC4431"/>
    <w:rsid w:val="00EC48A9"/>
    <w:rsid w:val="00EC5097"/>
    <w:rsid w:val="00EC62F8"/>
    <w:rsid w:val="00EC6952"/>
    <w:rsid w:val="00ED05B4"/>
    <w:rsid w:val="00ED0CB6"/>
    <w:rsid w:val="00ED0DBA"/>
    <w:rsid w:val="00ED10ED"/>
    <w:rsid w:val="00ED1710"/>
    <w:rsid w:val="00ED196C"/>
    <w:rsid w:val="00ED1EF1"/>
    <w:rsid w:val="00ED274E"/>
    <w:rsid w:val="00ED2A81"/>
    <w:rsid w:val="00ED2C84"/>
    <w:rsid w:val="00ED2FD9"/>
    <w:rsid w:val="00ED470B"/>
    <w:rsid w:val="00ED52C8"/>
    <w:rsid w:val="00ED5E0E"/>
    <w:rsid w:val="00ED7F27"/>
    <w:rsid w:val="00ED7FB6"/>
    <w:rsid w:val="00EE016D"/>
    <w:rsid w:val="00EE13E9"/>
    <w:rsid w:val="00EE1551"/>
    <w:rsid w:val="00EE193D"/>
    <w:rsid w:val="00EE1C53"/>
    <w:rsid w:val="00EE247B"/>
    <w:rsid w:val="00EE3550"/>
    <w:rsid w:val="00EE3C57"/>
    <w:rsid w:val="00EE4392"/>
    <w:rsid w:val="00EE4834"/>
    <w:rsid w:val="00EE6734"/>
    <w:rsid w:val="00EF0D53"/>
    <w:rsid w:val="00EF10C0"/>
    <w:rsid w:val="00EF30B2"/>
    <w:rsid w:val="00EF3516"/>
    <w:rsid w:val="00EF5DB1"/>
    <w:rsid w:val="00F00A55"/>
    <w:rsid w:val="00F036B3"/>
    <w:rsid w:val="00F0453D"/>
    <w:rsid w:val="00F04E66"/>
    <w:rsid w:val="00F04E6D"/>
    <w:rsid w:val="00F05396"/>
    <w:rsid w:val="00F054D4"/>
    <w:rsid w:val="00F05553"/>
    <w:rsid w:val="00F05B1C"/>
    <w:rsid w:val="00F066AB"/>
    <w:rsid w:val="00F0672E"/>
    <w:rsid w:val="00F06B15"/>
    <w:rsid w:val="00F114E9"/>
    <w:rsid w:val="00F1252E"/>
    <w:rsid w:val="00F13161"/>
    <w:rsid w:val="00F14BD3"/>
    <w:rsid w:val="00F14C27"/>
    <w:rsid w:val="00F17B13"/>
    <w:rsid w:val="00F20791"/>
    <w:rsid w:val="00F210FD"/>
    <w:rsid w:val="00F21B9D"/>
    <w:rsid w:val="00F222DB"/>
    <w:rsid w:val="00F22513"/>
    <w:rsid w:val="00F23C40"/>
    <w:rsid w:val="00F24FE8"/>
    <w:rsid w:val="00F26091"/>
    <w:rsid w:val="00F26618"/>
    <w:rsid w:val="00F2694A"/>
    <w:rsid w:val="00F269B6"/>
    <w:rsid w:val="00F27073"/>
    <w:rsid w:val="00F27548"/>
    <w:rsid w:val="00F307DD"/>
    <w:rsid w:val="00F30802"/>
    <w:rsid w:val="00F32137"/>
    <w:rsid w:val="00F32D22"/>
    <w:rsid w:val="00F342AB"/>
    <w:rsid w:val="00F34E00"/>
    <w:rsid w:val="00F3525B"/>
    <w:rsid w:val="00F35C68"/>
    <w:rsid w:val="00F3684A"/>
    <w:rsid w:val="00F368D9"/>
    <w:rsid w:val="00F375F0"/>
    <w:rsid w:val="00F3761F"/>
    <w:rsid w:val="00F41E1D"/>
    <w:rsid w:val="00F4202B"/>
    <w:rsid w:val="00F427FD"/>
    <w:rsid w:val="00F44381"/>
    <w:rsid w:val="00F45165"/>
    <w:rsid w:val="00F46901"/>
    <w:rsid w:val="00F47FAC"/>
    <w:rsid w:val="00F5117D"/>
    <w:rsid w:val="00F51832"/>
    <w:rsid w:val="00F5228E"/>
    <w:rsid w:val="00F529EB"/>
    <w:rsid w:val="00F554AE"/>
    <w:rsid w:val="00F563BA"/>
    <w:rsid w:val="00F5642D"/>
    <w:rsid w:val="00F56832"/>
    <w:rsid w:val="00F56EE7"/>
    <w:rsid w:val="00F600A0"/>
    <w:rsid w:val="00F604A5"/>
    <w:rsid w:val="00F610C0"/>
    <w:rsid w:val="00F61F0D"/>
    <w:rsid w:val="00F63BD1"/>
    <w:rsid w:val="00F64D77"/>
    <w:rsid w:val="00F662B3"/>
    <w:rsid w:val="00F66AA2"/>
    <w:rsid w:val="00F6791E"/>
    <w:rsid w:val="00F700B7"/>
    <w:rsid w:val="00F70366"/>
    <w:rsid w:val="00F703E5"/>
    <w:rsid w:val="00F706CF"/>
    <w:rsid w:val="00F713D6"/>
    <w:rsid w:val="00F7214E"/>
    <w:rsid w:val="00F7219F"/>
    <w:rsid w:val="00F72B1B"/>
    <w:rsid w:val="00F748C6"/>
    <w:rsid w:val="00F7529C"/>
    <w:rsid w:val="00F76F58"/>
    <w:rsid w:val="00F7744B"/>
    <w:rsid w:val="00F77AA9"/>
    <w:rsid w:val="00F807F1"/>
    <w:rsid w:val="00F80E69"/>
    <w:rsid w:val="00F8159C"/>
    <w:rsid w:val="00F8248B"/>
    <w:rsid w:val="00F8549A"/>
    <w:rsid w:val="00F855B2"/>
    <w:rsid w:val="00F85A4D"/>
    <w:rsid w:val="00F85E89"/>
    <w:rsid w:val="00F86920"/>
    <w:rsid w:val="00F87126"/>
    <w:rsid w:val="00F87662"/>
    <w:rsid w:val="00F8798A"/>
    <w:rsid w:val="00F87D21"/>
    <w:rsid w:val="00F87FF8"/>
    <w:rsid w:val="00F9056E"/>
    <w:rsid w:val="00F91A3E"/>
    <w:rsid w:val="00F925F5"/>
    <w:rsid w:val="00F93652"/>
    <w:rsid w:val="00F93CD7"/>
    <w:rsid w:val="00F9419D"/>
    <w:rsid w:val="00F95CA7"/>
    <w:rsid w:val="00F9782D"/>
    <w:rsid w:val="00F97AB4"/>
    <w:rsid w:val="00FA11D9"/>
    <w:rsid w:val="00FA1D52"/>
    <w:rsid w:val="00FA20DD"/>
    <w:rsid w:val="00FA2286"/>
    <w:rsid w:val="00FA35B4"/>
    <w:rsid w:val="00FA36A4"/>
    <w:rsid w:val="00FA3C59"/>
    <w:rsid w:val="00FA44DE"/>
    <w:rsid w:val="00FA4EAC"/>
    <w:rsid w:val="00FA5CCB"/>
    <w:rsid w:val="00FA5D9D"/>
    <w:rsid w:val="00FA72E2"/>
    <w:rsid w:val="00FA79A7"/>
    <w:rsid w:val="00FA7A5F"/>
    <w:rsid w:val="00FA7BCE"/>
    <w:rsid w:val="00FB0922"/>
    <w:rsid w:val="00FB0FAC"/>
    <w:rsid w:val="00FB2C48"/>
    <w:rsid w:val="00FB2E60"/>
    <w:rsid w:val="00FB3E0C"/>
    <w:rsid w:val="00FB63DA"/>
    <w:rsid w:val="00FC0C96"/>
    <w:rsid w:val="00FC2ACB"/>
    <w:rsid w:val="00FC2B5E"/>
    <w:rsid w:val="00FC331F"/>
    <w:rsid w:val="00FC3530"/>
    <w:rsid w:val="00FC3BF6"/>
    <w:rsid w:val="00FC4EC0"/>
    <w:rsid w:val="00FC5A95"/>
    <w:rsid w:val="00FC6E55"/>
    <w:rsid w:val="00FC7EB0"/>
    <w:rsid w:val="00FD03AC"/>
    <w:rsid w:val="00FD1250"/>
    <w:rsid w:val="00FD2865"/>
    <w:rsid w:val="00FD3179"/>
    <w:rsid w:val="00FD36BB"/>
    <w:rsid w:val="00FD3E4D"/>
    <w:rsid w:val="00FD465F"/>
    <w:rsid w:val="00FD4C00"/>
    <w:rsid w:val="00FD50C5"/>
    <w:rsid w:val="00FD5F4A"/>
    <w:rsid w:val="00FD6677"/>
    <w:rsid w:val="00FD6C2E"/>
    <w:rsid w:val="00FD6C75"/>
    <w:rsid w:val="00FE0390"/>
    <w:rsid w:val="00FE0EB8"/>
    <w:rsid w:val="00FE36A0"/>
    <w:rsid w:val="00FE3925"/>
    <w:rsid w:val="00FE3B71"/>
    <w:rsid w:val="00FE4E19"/>
    <w:rsid w:val="00FE4F94"/>
    <w:rsid w:val="00FE56AA"/>
    <w:rsid w:val="00FE5D57"/>
    <w:rsid w:val="00FE61DD"/>
    <w:rsid w:val="00FE6FF8"/>
    <w:rsid w:val="00FE743F"/>
    <w:rsid w:val="00FE7BD4"/>
    <w:rsid w:val="00FF0450"/>
    <w:rsid w:val="00FF052B"/>
    <w:rsid w:val="00FF0907"/>
    <w:rsid w:val="00FF2C62"/>
    <w:rsid w:val="00FF3936"/>
    <w:rsid w:val="00FF4536"/>
    <w:rsid w:val="00FF4572"/>
    <w:rsid w:val="00FF4900"/>
    <w:rsid w:val="00FF4E15"/>
    <w:rsid w:val="00FF5DF3"/>
    <w:rsid w:val="00FF6BAD"/>
    <w:rsid w:val="00FF769C"/>
    <w:rsid w:val="012263C7"/>
    <w:rsid w:val="0125F046"/>
    <w:rsid w:val="012D87D0"/>
    <w:rsid w:val="014BF243"/>
    <w:rsid w:val="0152228B"/>
    <w:rsid w:val="0171EF41"/>
    <w:rsid w:val="01771DBE"/>
    <w:rsid w:val="017B7001"/>
    <w:rsid w:val="018864F6"/>
    <w:rsid w:val="019AEB3A"/>
    <w:rsid w:val="019FDE7A"/>
    <w:rsid w:val="01CEF87D"/>
    <w:rsid w:val="023403AB"/>
    <w:rsid w:val="02B070D6"/>
    <w:rsid w:val="031CF7B4"/>
    <w:rsid w:val="032C5354"/>
    <w:rsid w:val="03443DA0"/>
    <w:rsid w:val="034DC79B"/>
    <w:rsid w:val="037E24F5"/>
    <w:rsid w:val="0406CF60"/>
    <w:rsid w:val="04321AFD"/>
    <w:rsid w:val="043A687C"/>
    <w:rsid w:val="046BE091"/>
    <w:rsid w:val="04818F28"/>
    <w:rsid w:val="04944027"/>
    <w:rsid w:val="04F08E41"/>
    <w:rsid w:val="0547E863"/>
    <w:rsid w:val="056FC275"/>
    <w:rsid w:val="057F7E1C"/>
    <w:rsid w:val="0599FD70"/>
    <w:rsid w:val="05F8C276"/>
    <w:rsid w:val="064275E0"/>
    <w:rsid w:val="0667BB8D"/>
    <w:rsid w:val="0682E84F"/>
    <w:rsid w:val="069F5B68"/>
    <w:rsid w:val="06F26684"/>
    <w:rsid w:val="06FAD700"/>
    <w:rsid w:val="07C790C8"/>
    <w:rsid w:val="07CD9C87"/>
    <w:rsid w:val="07CE6AB2"/>
    <w:rsid w:val="07E59FF8"/>
    <w:rsid w:val="07ED44AF"/>
    <w:rsid w:val="0820DD61"/>
    <w:rsid w:val="085A700D"/>
    <w:rsid w:val="0879324C"/>
    <w:rsid w:val="08F5301D"/>
    <w:rsid w:val="0902BFC3"/>
    <w:rsid w:val="0912B3D1"/>
    <w:rsid w:val="09190A3D"/>
    <w:rsid w:val="09EE5E1F"/>
    <w:rsid w:val="0A073210"/>
    <w:rsid w:val="0A38B65C"/>
    <w:rsid w:val="0A490D9D"/>
    <w:rsid w:val="0A4B675B"/>
    <w:rsid w:val="0AF729A0"/>
    <w:rsid w:val="0B67254C"/>
    <w:rsid w:val="0BAEBDD7"/>
    <w:rsid w:val="0BE12145"/>
    <w:rsid w:val="0BEE3925"/>
    <w:rsid w:val="0BF54B65"/>
    <w:rsid w:val="0BFCBE94"/>
    <w:rsid w:val="0BFD91D1"/>
    <w:rsid w:val="0C01E1F0"/>
    <w:rsid w:val="0C25ECE2"/>
    <w:rsid w:val="0C4CD422"/>
    <w:rsid w:val="0C86A847"/>
    <w:rsid w:val="0D498414"/>
    <w:rsid w:val="0D57F90A"/>
    <w:rsid w:val="0D7BC557"/>
    <w:rsid w:val="0D9D2140"/>
    <w:rsid w:val="0DB1F40E"/>
    <w:rsid w:val="0DB7CA26"/>
    <w:rsid w:val="0DE71BB6"/>
    <w:rsid w:val="0E3C878B"/>
    <w:rsid w:val="0EA9DD38"/>
    <w:rsid w:val="0EF2FB77"/>
    <w:rsid w:val="0EFF572D"/>
    <w:rsid w:val="0F17509A"/>
    <w:rsid w:val="0F1BCA46"/>
    <w:rsid w:val="0F90BD47"/>
    <w:rsid w:val="0FC2536F"/>
    <w:rsid w:val="0FEBCDD1"/>
    <w:rsid w:val="100E9993"/>
    <w:rsid w:val="101196D6"/>
    <w:rsid w:val="10372DE6"/>
    <w:rsid w:val="109EF6F8"/>
    <w:rsid w:val="10C134A4"/>
    <w:rsid w:val="10D92E11"/>
    <w:rsid w:val="10DB8127"/>
    <w:rsid w:val="11087EA9"/>
    <w:rsid w:val="120EDE34"/>
    <w:rsid w:val="12B304F5"/>
    <w:rsid w:val="12B5FA01"/>
    <w:rsid w:val="12DFAECB"/>
    <w:rsid w:val="12E222BC"/>
    <w:rsid w:val="12F882C4"/>
    <w:rsid w:val="132C7687"/>
    <w:rsid w:val="133ECA92"/>
    <w:rsid w:val="13406181"/>
    <w:rsid w:val="13A2B1CC"/>
    <w:rsid w:val="13E55215"/>
    <w:rsid w:val="13E7B385"/>
    <w:rsid w:val="14128A71"/>
    <w:rsid w:val="143E5EF7"/>
    <w:rsid w:val="14997C59"/>
    <w:rsid w:val="14A626C9"/>
    <w:rsid w:val="14D65162"/>
    <w:rsid w:val="14E46821"/>
    <w:rsid w:val="15031725"/>
    <w:rsid w:val="153BD997"/>
    <w:rsid w:val="15A73795"/>
    <w:rsid w:val="15AB529C"/>
    <w:rsid w:val="15C18A69"/>
    <w:rsid w:val="16B1870B"/>
    <w:rsid w:val="16B82D46"/>
    <w:rsid w:val="16C03E50"/>
    <w:rsid w:val="16D2347B"/>
    <w:rsid w:val="16E6A4D1"/>
    <w:rsid w:val="174C48D6"/>
    <w:rsid w:val="177FE25E"/>
    <w:rsid w:val="1792729A"/>
    <w:rsid w:val="17D4442E"/>
    <w:rsid w:val="17FE8614"/>
    <w:rsid w:val="1859A3B7"/>
    <w:rsid w:val="189710CB"/>
    <w:rsid w:val="189729AB"/>
    <w:rsid w:val="18A24625"/>
    <w:rsid w:val="18B427FB"/>
    <w:rsid w:val="18E2AE83"/>
    <w:rsid w:val="18F61E13"/>
    <w:rsid w:val="18FB28A1"/>
    <w:rsid w:val="196A5553"/>
    <w:rsid w:val="1A42249F"/>
    <w:rsid w:val="1AA05127"/>
    <w:rsid w:val="1AC1A299"/>
    <w:rsid w:val="1ACDED7B"/>
    <w:rsid w:val="1ADBF239"/>
    <w:rsid w:val="1B495AB4"/>
    <w:rsid w:val="1B7D5A2E"/>
    <w:rsid w:val="1B7E4F77"/>
    <w:rsid w:val="1B893C06"/>
    <w:rsid w:val="1BE62C62"/>
    <w:rsid w:val="1BF7D38C"/>
    <w:rsid w:val="1C1F29AB"/>
    <w:rsid w:val="1C23BD72"/>
    <w:rsid w:val="1C3A5BB3"/>
    <w:rsid w:val="1C5919A0"/>
    <w:rsid w:val="1CBB3CB8"/>
    <w:rsid w:val="1CC6C6A4"/>
    <w:rsid w:val="1D63A592"/>
    <w:rsid w:val="1E76BE66"/>
    <w:rsid w:val="1F0BF718"/>
    <w:rsid w:val="1F165AB5"/>
    <w:rsid w:val="1FB7F996"/>
    <w:rsid w:val="200EFC02"/>
    <w:rsid w:val="20285A94"/>
    <w:rsid w:val="202A7AD9"/>
    <w:rsid w:val="208201FF"/>
    <w:rsid w:val="2109B042"/>
    <w:rsid w:val="21AE4E6C"/>
    <w:rsid w:val="21FDE864"/>
    <w:rsid w:val="2227CBD2"/>
    <w:rsid w:val="2295AD43"/>
    <w:rsid w:val="22EF8FB2"/>
    <w:rsid w:val="22F235E1"/>
    <w:rsid w:val="23215362"/>
    <w:rsid w:val="235B991A"/>
    <w:rsid w:val="23D8E033"/>
    <w:rsid w:val="240830CB"/>
    <w:rsid w:val="2424C730"/>
    <w:rsid w:val="242E468F"/>
    <w:rsid w:val="2447FA88"/>
    <w:rsid w:val="24486A78"/>
    <w:rsid w:val="24A0E12B"/>
    <w:rsid w:val="24E6BF4E"/>
    <w:rsid w:val="253B8DD8"/>
    <w:rsid w:val="25B48E73"/>
    <w:rsid w:val="25EDDEEB"/>
    <w:rsid w:val="25F7AE06"/>
    <w:rsid w:val="261FA537"/>
    <w:rsid w:val="26C3E99D"/>
    <w:rsid w:val="26F7A45F"/>
    <w:rsid w:val="270613AF"/>
    <w:rsid w:val="27404E00"/>
    <w:rsid w:val="2749B618"/>
    <w:rsid w:val="28189C1E"/>
    <w:rsid w:val="2842A448"/>
    <w:rsid w:val="28A448F0"/>
    <w:rsid w:val="28D19423"/>
    <w:rsid w:val="28DB3972"/>
    <w:rsid w:val="28EC1377"/>
    <w:rsid w:val="290DF03A"/>
    <w:rsid w:val="29181CC2"/>
    <w:rsid w:val="29399344"/>
    <w:rsid w:val="29F1716F"/>
    <w:rsid w:val="29F4DC5A"/>
    <w:rsid w:val="2A1541E8"/>
    <w:rsid w:val="2A4BBE3E"/>
    <w:rsid w:val="2AAFE4B3"/>
    <w:rsid w:val="2AEC103F"/>
    <w:rsid w:val="2B2D572A"/>
    <w:rsid w:val="2BA5564D"/>
    <w:rsid w:val="2BCB4853"/>
    <w:rsid w:val="2BF5A4A8"/>
    <w:rsid w:val="2C0E7C38"/>
    <w:rsid w:val="2C3DCF5E"/>
    <w:rsid w:val="2C77DC58"/>
    <w:rsid w:val="2C89BB97"/>
    <w:rsid w:val="2D15B661"/>
    <w:rsid w:val="2D1D0140"/>
    <w:rsid w:val="2D50D392"/>
    <w:rsid w:val="2DA3B9A6"/>
    <w:rsid w:val="2DB7FCB6"/>
    <w:rsid w:val="2DE27451"/>
    <w:rsid w:val="2DFE7491"/>
    <w:rsid w:val="2E04F653"/>
    <w:rsid w:val="2E2AA565"/>
    <w:rsid w:val="2F17D8D0"/>
    <w:rsid w:val="2F5AC712"/>
    <w:rsid w:val="2F5F5AD9"/>
    <w:rsid w:val="2F602B24"/>
    <w:rsid w:val="2F7BCDF2"/>
    <w:rsid w:val="30027543"/>
    <w:rsid w:val="30056095"/>
    <w:rsid w:val="3037B392"/>
    <w:rsid w:val="3067E75D"/>
    <w:rsid w:val="3080FE07"/>
    <w:rsid w:val="308FA7EC"/>
    <w:rsid w:val="3139ACFA"/>
    <w:rsid w:val="31445627"/>
    <w:rsid w:val="31684F84"/>
    <w:rsid w:val="31907FC5"/>
    <w:rsid w:val="31BA4742"/>
    <w:rsid w:val="32278CCF"/>
    <w:rsid w:val="332CEF82"/>
    <w:rsid w:val="3354D767"/>
    <w:rsid w:val="3366FA84"/>
    <w:rsid w:val="336A32AD"/>
    <w:rsid w:val="33A39FD0"/>
    <w:rsid w:val="33B98FBE"/>
    <w:rsid w:val="33E8A03F"/>
    <w:rsid w:val="346755D9"/>
    <w:rsid w:val="34903016"/>
    <w:rsid w:val="352EAE4B"/>
    <w:rsid w:val="3546A7B8"/>
    <w:rsid w:val="358B9EA7"/>
    <w:rsid w:val="35B41F8C"/>
    <w:rsid w:val="35EAAD75"/>
    <w:rsid w:val="36051AFC"/>
    <w:rsid w:val="3645819D"/>
    <w:rsid w:val="3666F5E4"/>
    <w:rsid w:val="367B32CF"/>
    <w:rsid w:val="36E8CED3"/>
    <w:rsid w:val="3709852E"/>
    <w:rsid w:val="3718D3AD"/>
    <w:rsid w:val="3739C98C"/>
    <w:rsid w:val="375D2AE3"/>
    <w:rsid w:val="3797F11A"/>
    <w:rsid w:val="37F80C35"/>
    <w:rsid w:val="380E4278"/>
    <w:rsid w:val="388D0CFF"/>
    <w:rsid w:val="38F72D57"/>
    <w:rsid w:val="393322C0"/>
    <w:rsid w:val="39541DB3"/>
    <w:rsid w:val="3971D4F1"/>
    <w:rsid w:val="39772800"/>
    <w:rsid w:val="399680AB"/>
    <w:rsid w:val="39B25F92"/>
    <w:rsid w:val="3A9211EA"/>
    <w:rsid w:val="3ACDC332"/>
    <w:rsid w:val="3AD35751"/>
    <w:rsid w:val="3B002202"/>
    <w:rsid w:val="3B0054D3"/>
    <w:rsid w:val="3B486693"/>
    <w:rsid w:val="3BBC7501"/>
    <w:rsid w:val="3C0C4D54"/>
    <w:rsid w:val="3C32B6FC"/>
    <w:rsid w:val="3C474D65"/>
    <w:rsid w:val="3CA20E2F"/>
    <w:rsid w:val="3D05013C"/>
    <w:rsid w:val="3D0C619D"/>
    <w:rsid w:val="3D4DC65E"/>
    <w:rsid w:val="3D4DF6DA"/>
    <w:rsid w:val="3D597C26"/>
    <w:rsid w:val="3DBB9C21"/>
    <w:rsid w:val="3DBFD58D"/>
    <w:rsid w:val="3DD64AD4"/>
    <w:rsid w:val="3E69778D"/>
    <w:rsid w:val="3E75D039"/>
    <w:rsid w:val="3F18DE32"/>
    <w:rsid w:val="3F3A9C2E"/>
    <w:rsid w:val="3FFB2F59"/>
    <w:rsid w:val="409F829A"/>
    <w:rsid w:val="40A277F2"/>
    <w:rsid w:val="4107F620"/>
    <w:rsid w:val="411BC80B"/>
    <w:rsid w:val="4153CA5D"/>
    <w:rsid w:val="4198C8A8"/>
    <w:rsid w:val="419E832D"/>
    <w:rsid w:val="41D20DC5"/>
    <w:rsid w:val="42180093"/>
    <w:rsid w:val="4231F699"/>
    <w:rsid w:val="4259F14C"/>
    <w:rsid w:val="42770668"/>
    <w:rsid w:val="428EFFD5"/>
    <w:rsid w:val="430FB655"/>
    <w:rsid w:val="437C90E0"/>
    <w:rsid w:val="43A73B4C"/>
    <w:rsid w:val="43C3A1CC"/>
    <w:rsid w:val="4408A554"/>
    <w:rsid w:val="445B929A"/>
    <w:rsid w:val="4465AE90"/>
    <w:rsid w:val="4558A851"/>
    <w:rsid w:val="45B3EC33"/>
    <w:rsid w:val="4629978A"/>
    <w:rsid w:val="4641A5B9"/>
    <w:rsid w:val="4695C126"/>
    <w:rsid w:val="47256575"/>
    <w:rsid w:val="472EA4FB"/>
    <w:rsid w:val="479F3DC1"/>
    <w:rsid w:val="48064FC4"/>
    <w:rsid w:val="481DD604"/>
    <w:rsid w:val="48B49B28"/>
    <w:rsid w:val="48B99D61"/>
    <w:rsid w:val="48BF466B"/>
    <w:rsid w:val="49F61B5D"/>
    <w:rsid w:val="4A350202"/>
    <w:rsid w:val="4A767EA2"/>
    <w:rsid w:val="4AC175C7"/>
    <w:rsid w:val="4AE39279"/>
    <w:rsid w:val="4B06279F"/>
    <w:rsid w:val="4B386DB6"/>
    <w:rsid w:val="4B3E2EA7"/>
    <w:rsid w:val="4B5065A2"/>
    <w:rsid w:val="4B5285E7"/>
    <w:rsid w:val="4B63C8C6"/>
    <w:rsid w:val="4B9F5333"/>
    <w:rsid w:val="4BC39BF6"/>
    <w:rsid w:val="4C2FBECB"/>
    <w:rsid w:val="4CE21D6E"/>
    <w:rsid w:val="4D08CD28"/>
    <w:rsid w:val="4D27145D"/>
    <w:rsid w:val="4D324A3E"/>
    <w:rsid w:val="4D6802CA"/>
    <w:rsid w:val="4D81E156"/>
    <w:rsid w:val="4E3CBA28"/>
    <w:rsid w:val="4E5CC480"/>
    <w:rsid w:val="4E5EEB16"/>
    <w:rsid w:val="4EF08444"/>
    <w:rsid w:val="4F02EE04"/>
    <w:rsid w:val="4F26BAEE"/>
    <w:rsid w:val="4F59A70C"/>
    <w:rsid w:val="4F7301EB"/>
    <w:rsid w:val="4FC83B92"/>
    <w:rsid w:val="4FDBD19E"/>
    <w:rsid w:val="506AD382"/>
    <w:rsid w:val="50928A2D"/>
    <w:rsid w:val="50AE2BFE"/>
    <w:rsid w:val="50B50B91"/>
    <w:rsid w:val="50C27EF2"/>
    <w:rsid w:val="5107BFA7"/>
    <w:rsid w:val="511F16D2"/>
    <w:rsid w:val="5138232F"/>
    <w:rsid w:val="51C85330"/>
    <w:rsid w:val="51DB042F"/>
    <w:rsid w:val="52875935"/>
    <w:rsid w:val="52997773"/>
    <w:rsid w:val="52AC5C8F"/>
    <w:rsid w:val="53668BCA"/>
    <w:rsid w:val="53DEDFD9"/>
    <w:rsid w:val="548D6809"/>
    <w:rsid w:val="54905D61"/>
    <w:rsid w:val="5562571E"/>
    <w:rsid w:val="5570B215"/>
    <w:rsid w:val="55A3833B"/>
    <w:rsid w:val="55A8CBA9"/>
    <w:rsid w:val="55AA32A4"/>
    <w:rsid w:val="55B481A4"/>
    <w:rsid w:val="55C48D63"/>
    <w:rsid w:val="560408CC"/>
    <w:rsid w:val="560BB31C"/>
    <w:rsid w:val="563922F7"/>
    <w:rsid w:val="56529E8B"/>
    <w:rsid w:val="56BCC465"/>
    <w:rsid w:val="56CDA14C"/>
    <w:rsid w:val="56E6C50B"/>
    <w:rsid w:val="56EE3773"/>
    <w:rsid w:val="570B599D"/>
    <w:rsid w:val="577D5A1F"/>
    <w:rsid w:val="57DC6AC0"/>
    <w:rsid w:val="583CEFB3"/>
    <w:rsid w:val="586D7FC6"/>
    <w:rsid w:val="58A0429F"/>
    <w:rsid w:val="591B86E8"/>
    <w:rsid w:val="5922095B"/>
    <w:rsid w:val="592CC525"/>
    <w:rsid w:val="59598419"/>
    <w:rsid w:val="596EBD18"/>
    <w:rsid w:val="597442DC"/>
    <w:rsid w:val="5A42A1C9"/>
    <w:rsid w:val="5AB52A1B"/>
    <w:rsid w:val="5B2B95ED"/>
    <w:rsid w:val="5B6025AE"/>
    <w:rsid w:val="5B878F11"/>
    <w:rsid w:val="5BE0B5AA"/>
    <w:rsid w:val="5BE5BE82"/>
    <w:rsid w:val="5C778830"/>
    <w:rsid w:val="5D4CEA5B"/>
    <w:rsid w:val="5E530AC3"/>
    <w:rsid w:val="5E7CA5D5"/>
    <w:rsid w:val="5E84552D"/>
    <w:rsid w:val="5E8CB7D0"/>
    <w:rsid w:val="5E9761C9"/>
    <w:rsid w:val="5EDBB120"/>
    <w:rsid w:val="5EFFA8CA"/>
    <w:rsid w:val="5F0B851F"/>
    <w:rsid w:val="5F3B3CD9"/>
    <w:rsid w:val="5F3DA8CF"/>
    <w:rsid w:val="5F5D3277"/>
    <w:rsid w:val="5F8E5016"/>
    <w:rsid w:val="6041EC95"/>
    <w:rsid w:val="6056B959"/>
    <w:rsid w:val="607E5790"/>
    <w:rsid w:val="6094FD7C"/>
    <w:rsid w:val="60A83AA1"/>
    <w:rsid w:val="60A8C40E"/>
    <w:rsid w:val="60B77600"/>
    <w:rsid w:val="60B82361"/>
    <w:rsid w:val="60BF792A"/>
    <w:rsid w:val="60C66BA0"/>
    <w:rsid w:val="6131366D"/>
    <w:rsid w:val="613B79AD"/>
    <w:rsid w:val="61499C15"/>
    <w:rsid w:val="6152638B"/>
    <w:rsid w:val="6165613B"/>
    <w:rsid w:val="61E109C7"/>
    <w:rsid w:val="62009D63"/>
    <w:rsid w:val="622D6814"/>
    <w:rsid w:val="6335E7E4"/>
    <w:rsid w:val="6354B4A4"/>
    <w:rsid w:val="64368F90"/>
    <w:rsid w:val="6468A900"/>
    <w:rsid w:val="64BFE34B"/>
    <w:rsid w:val="64F2AFBE"/>
    <w:rsid w:val="6516C60D"/>
    <w:rsid w:val="65C91C6F"/>
    <w:rsid w:val="65EFF014"/>
    <w:rsid w:val="65FB625F"/>
    <w:rsid w:val="66427FE4"/>
    <w:rsid w:val="66CEA6E7"/>
    <w:rsid w:val="66E6A054"/>
    <w:rsid w:val="670858D0"/>
    <w:rsid w:val="67B7ABB7"/>
    <w:rsid w:val="67C736E3"/>
    <w:rsid w:val="67ED38F4"/>
    <w:rsid w:val="67F86CD3"/>
    <w:rsid w:val="6814B4F3"/>
    <w:rsid w:val="6897083D"/>
    <w:rsid w:val="6993BBC0"/>
    <w:rsid w:val="69B420C7"/>
    <w:rsid w:val="69FFA96C"/>
    <w:rsid w:val="6A7D0C41"/>
    <w:rsid w:val="6A9F1398"/>
    <w:rsid w:val="6ADD9310"/>
    <w:rsid w:val="6B0C540F"/>
    <w:rsid w:val="6B4CE5A9"/>
    <w:rsid w:val="6BB07055"/>
    <w:rsid w:val="6BD18C53"/>
    <w:rsid w:val="6C93068B"/>
    <w:rsid w:val="6C96FD33"/>
    <w:rsid w:val="6CB5665D"/>
    <w:rsid w:val="6CB816D6"/>
    <w:rsid w:val="6CC8A4C5"/>
    <w:rsid w:val="6CE7E3F0"/>
    <w:rsid w:val="6CE8A00B"/>
    <w:rsid w:val="6D0733E2"/>
    <w:rsid w:val="6D6F1E9C"/>
    <w:rsid w:val="6DFD567F"/>
    <w:rsid w:val="6E66988B"/>
    <w:rsid w:val="6EC56C0E"/>
    <w:rsid w:val="6EEF81E4"/>
    <w:rsid w:val="6F18B6F5"/>
    <w:rsid w:val="6F417C93"/>
    <w:rsid w:val="6F78A45D"/>
    <w:rsid w:val="6F9E1678"/>
    <w:rsid w:val="6FA0EC22"/>
    <w:rsid w:val="6FE2088C"/>
    <w:rsid w:val="6FE3ED5D"/>
    <w:rsid w:val="70022EE3"/>
    <w:rsid w:val="7080AD2E"/>
    <w:rsid w:val="70959D7D"/>
    <w:rsid w:val="70ACC07F"/>
    <w:rsid w:val="70C1F3B4"/>
    <w:rsid w:val="71494916"/>
    <w:rsid w:val="718F2261"/>
    <w:rsid w:val="71B1011D"/>
    <w:rsid w:val="7222E513"/>
    <w:rsid w:val="7283532B"/>
    <w:rsid w:val="72AFA465"/>
    <w:rsid w:val="7306E9B5"/>
    <w:rsid w:val="7327B534"/>
    <w:rsid w:val="7328725F"/>
    <w:rsid w:val="73293159"/>
    <w:rsid w:val="7331B4F8"/>
    <w:rsid w:val="7343BA7C"/>
    <w:rsid w:val="735D0963"/>
    <w:rsid w:val="736E64E8"/>
    <w:rsid w:val="73B8C28B"/>
    <w:rsid w:val="73DF5A6D"/>
    <w:rsid w:val="74346A68"/>
    <w:rsid w:val="74841E27"/>
    <w:rsid w:val="749435B7"/>
    <w:rsid w:val="74A31378"/>
    <w:rsid w:val="74D44C16"/>
    <w:rsid w:val="753262A4"/>
    <w:rsid w:val="75329575"/>
    <w:rsid w:val="7547998A"/>
    <w:rsid w:val="75C1BD87"/>
    <w:rsid w:val="75D18768"/>
    <w:rsid w:val="760AAEA5"/>
    <w:rsid w:val="766CE9B2"/>
    <w:rsid w:val="7727DAB8"/>
    <w:rsid w:val="77620EE0"/>
    <w:rsid w:val="77F1AFF1"/>
    <w:rsid w:val="787E988F"/>
    <w:rsid w:val="7894165A"/>
    <w:rsid w:val="78979BB6"/>
    <w:rsid w:val="78BC12A4"/>
    <w:rsid w:val="78CED1A4"/>
    <w:rsid w:val="78F6F94E"/>
    <w:rsid w:val="78FAE1B0"/>
    <w:rsid w:val="7915E0B6"/>
    <w:rsid w:val="7932DCAD"/>
    <w:rsid w:val="79430CD9"/>
    <w:rsid w:val="796D08F2"/>
    <w:rsid w:val="79D07F9F"/>
    <w:rsid w:val="7A039C92"/>
    <w:rsid w:val="7A10FCE2"/>
    <w:rsid w:val="7A2E8371"/>
    <w:rsid w:val="7A3027CB"/>
    <w:rsid w:val="7A5F938F"/>
    <w:rsid w:val="7A9531C2"/>
    <w:rsid w:val="7ADFE1AF"/>
    <w:rsid w:val="7B30DA2E"/>
    <w:rsid w:val="7B43B7AD"/>
    <w:rsid w:val="7B60B8B2"/>
    <w:rsid w:val="7B62EAF7"/>
    <w:rsid w:val="7B927880"/>
    <w:rsid w:val="7BC815A2"/>
    <w:rsid w:val="7BD717A0"/>
    <w:rsid w:val="7BEF4D72"/>
    <w:rsid w:val="7BFF23E8"/>
    <w:rsid w:val="7C0585FF"/>
    <w:rsid w:val="7C1ECDD5"/>
    <w:rsid w:val="7C8E0C94"/>
    <w:rsid w:val="7CAFF784"/>
    <w:rsid w:val="7CB208FC"/>
    <w:rsid w:val="7CBDDBAE"/>
    <w:rsid w:val="7CD6448C"/>
    <w:rsid w:val="7CD864D1"/>
    <w:rsid w:val="7CE79C12"/>
    <w:rsid w:val="7CF81ACD"/>
    <w:rsid w:val="7D030F3D"/>
    <w:rsid w:val="7D1B08AA"/>
    <w:rsid w:val="7D2DC7D7"/>
    <w:rsid w:val="7DCDEC6B"/>
    <w:rsid w:val="7EDE6F62"/>
    <w:rsid w:val="7F516079"/>
    <w:rsid w:val="7F9D79AA"/>
    <w:rsid w:val="7FDE8BB8"/>
    <w:rsid w:val="7FE2FD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5D8A8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1A2"/>
    <w:pPr>
      <w:spacing w:line="360" w:lineRule="auto"/>
      <w:ind w:firstLine="720"/>
    </w:pPr>
    <w:rPr>
      <w:rFonts w:ascii="Arial" w:hAnsi="Arial"/>
      <w:sz w:val="24"/>
    </w:rPr>
  </w:style>
  <w:style w:type="paragraph" w:styleId="Heading1">
    <w:name w:val="heading 1"/>
    <w:basedOn w:val="Normal"/>
    <w:next w:val="Normal"/>
    <w:qFormat/>
    <w:rsid w:val="007F305F"/>
    <w:pPr>
      <w:keepNext/>
      <w:numPr>
        <w:numId w:val="14"/>
      </w:numPr>
      <w:spacing w:before="360" w:after="240" w:line="240" w:lineRule="auto"/>
      <w:ind w:hanging="720"/>
      <w:outlineLvl w:val="0"/>
    </w:pPr>
    <w:rPr>
      <w:caps/>
    </w:rPr>
  </w:style>
  <w:style w:type="paragraph" w:styleId="Heading2">
    <w:name w:val="heading 2"/>
    <w:basedOn w:val="Normal"/>
    <w:next w:val="Normal"/>
    <w:qFormat/>
    <w:rsid w:val="007F305F"/>
    <w:pPr>
      <w:keepNext/>
      <w:numPr>
        <w:numId w:val="27"/>
      </w:numPr>
      <w:spacing w:before="360" w:after="240" w:line="240" w:lineRule="auto"/>
      <w:ind w:left="1440" w:hanging="720"/>
      <w:outlineLvl w:val="1"/>
    </w:pPr>
  </w:style>
  <w:style w:type="paragraph" w:styleId="Heading3">
    <w:name w:val="heading 3"/>
    <w:basedOn w:val="Normal"/>
    <w:next w:val="Normal"/>
    <w:qFormat/>
    <w:rsid w:val="00630874"/>
    <w:pPr>
      <w:keepNext/>
      <w:numPr>
        <w:numId w:val="29"/>
      </w:numPr>
      <w:spacing w:before="360" w:after="240" w:line="240" w:lineRule="auto"/>
      <w:outlineLvl w:val="2"/>
    </w:pPr>
  </w:style>
  <w:style w:type="paragraph" w:styleId="Heading4">
    <w:name w:val="heading 4"/>
    <w:basedOn w:val="Normal"/>
    <w:next w:val="Normal"/>
    <w:qFormat/>
    <w:pPr>
      <w:keepNext/>
      <w:tabs>
        <w:tab w:val="left" w:pos="1008"/>
        <w:tab w:val="left" w:pos="1584"/>
        <w:tab w:val="left" w:pos="2160"/>
        <w:tab w:val="left" w:pos="2736"/>
        <w:tab w:val="left" w:pos="3456"/>
        <w:tab w:val="left" w:pos="4176"/>
      </w:tabs>
      <w:spacing w:before="360" w:after="240"/>
      <w:ind w:left="2160" w:hanging="576"/>
      <w:outlineLvl w:val="3"/>
    </w:pPr>
  </w:style>
  <w:style w:type="paragraph" w:styleId="Heading5">
    <w:name w:val="heading 5"/>
    <w:basedOn w:val="Normal"/>
    <w:next w:val="Normal"/>
    <w:qFormat/>
    <w:pPr>
      <w:tabs>
        <w:tab w:val="left" w:pos="1008"/>
        <w:tab w:val="left" w:pos="1584"/>
        <w:tab w:val="left" w:pos="2160"/>
        <w:tab w:val="left" w:pos="2736"/>
        <w:tab w:val="left" w:pos="3456"/>
        <w:tab w:val="left" w:pos="4176"/>
      </w:tabs>
      <w:spacing w:before="360" w:after="240"/>
      <w:ind w:left="2736" w:hanging="576"/>
      <w:outlineLvl w:val="4"/>
    </w:pPr>
  </w:style>
  <w:style w:type="paragraph" w:styleId="Heading6">
    <w:name w:val="heading 6"/>
    <w:basedOn w:val="Normal"/>
    <w:next w:val="Normal"/>
    <w:qFormat/>
    <w:pPr>
      <w:keepNext/>
      <w:tabs>
        <w:tab w:val="left" w:pos="1008"/>
        <w:tab w:val="left" w:pos="1584"/>
        <w:tab w:val="left" w:pos="2160"/>
        <w:tab w:val="left" w:pos="2736"/>
        <w:tab w:val="left" w:pos="3456"/>
        <w:tab w:val="left" w:pos="4176"/>
      </w:tabs>
      <w:spacing w:before="360" w:after="240"/>
      <w:ind w:left="3312" w:hanging="576"/>
      <w:outlineLvl w:val="5"/>
    </w:pPr>
  </w:style>
  <w:style w:type="paragraph" w:styleId="Heading7">
    <w:name w:val="heading 7"/>
    <w:basedOn w:val="Normal"/>
    <w:next w:val="Normal"/>
    <w:qFormat/>
    <w:pPr>
      <w:keepNex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F3580"/>
    <w:pPr>
      <w:spacing w:after="120" w:line="240" w:lineRule="auto"/>
    </w:pPr>
    <w:rPr>
      <w:sz w:val="20"/>
    </w:rPr>
  </w:style>
  <w:style w:type="paragraph" w:styleId="Header">
    <w:name w:val="header"/>
    <w:basedOn w:val="Normal"/>
    <w:rsid w:val="00B44CDF"/>
    <w:pPr>
      <w:spacing w:line="240" w:lineRule="auto"/>
      <w:ind w:firstLine="0"/>
    </w:pPr>
    <w:rPr>
      <w:sz w:val="20"/>
    </w:rPr>
  </w:style>
  <w:style w:type="paragraph" w:customStyle="1" w:styleId="Indentedquote">
    <w:name w:val="Indented quote"/>
    <w:basedOn w:val="Normal"/>
    <w:next w:val="Normal"/>
    <w:pPr>
      <w:tabs>
        <w:tab w:val="left" w:pos="1008"/>
        <w:tab w:val="left" w:pos="1584"/>
        <w:tab w:val="left" w:pos="2160"/>
        <w:tab w:val="left" w:pos="2736"/>
        <w:tab w:val="left" w:pos="3456"/>
        <w:tab w:val="left" w:pos="4176"/>
      </w:tabs>
      <w:spacing w:before="240" w:after="360"/>
      <w:ind w:left="1008" w:right="1296"/>
    </w:pPr>
  </w:style>
  <w:style w:type="paragraph" w:customStyle="1" w:styleId="NormalLeft">
    <w:name w:val="Normal Left"/>
    <w:basedOn w:val="Normal"/>
    <w:qFormat/>
    <w:rsid w:val="006320FA"/>
    <w:pPr>
      <w:ind w:firstLine="0"/>
    </w:pPr>
    <w:rPr>
      <w:iCs/>
      <w:szCs w:val="24"/>
    </w:rPr>
  </w:style>
  <w:style w:type="character" w:styleId="FootnoteReference">
    <w:name w:val="footnote reference"/>
    <w:semiHidden/>
    <w:rPr>
      <w:vertAlign w:val="superscript"/>
    </w:rPr>
  </w:style>
  <w:style w:type="paragraph" w:styleId="Footer">
    <w:name w:val="footer"/>
    <w:basedOn w:val="Normal"/>
    <w:rsid w:val="008E5A37"/>
  </w:style>
  <w:style w:type="paragraph" w:styleId="BalloonText">
    <w:name w:val="Balloon Text"/>
    <w:basedOn w:val="Normal"/>
    <w:link w:val="BalloonTextChar"/>
    <w:uiPriority w:val="99"/>
    <w:semiHidden/>
    <w:unhideWhenUsed/>
    <w:rsid w:val="008A60AD"/>
    <w:rPr>
      <w:rFonts w:ascii="Tahoma" w:hAnsi="Tahoma" w:cs="Tahoma"/>
      <w:sz w:val="16"/>
      <w:szCs w:val="16"/>
    </w:rPr>
  </w:style>
  <w:style w:type="character" w:customStyle="1" w:styleId="BalloonTextChar">
    <w:name w:val="Balloon Text Char"/>
    <w:link w:val="BalloonText"/>
    <w:uiPriority w:val="99"/>
    <w:semiHidden/>
    <w:rsid w:val="008A60AD"/>
    <w:rPr>
      <w:rFonts w:ascii="Tahoma" w:hAnsi="Tahoma" w:cs="Tahoma"/>
      <w:sz w:val="16"/>
      <w:szCs w:val="16"/>
    </w:rPr>
  </w:style>
  <w:style w:type="character" w:styleId="Hyperlink">
    <w:name w:val="Hyperlink"/>
    <w:rsid w:val="000547E8"/>
    <w:rPr>
      <w:color w:val="0000FF"/>
      <w:u w:val="single"/>
    </w:rPr>
  </w:style>
  <w:style w:type="paragraph" w:styleId="NormalWeb">
    <w:name w:val="Normal (Web)"/>
    <w:basedOn w:val="Normal"/>
    <w:uiPriority w:val="99"/>
    <w:unhideWhenUsed/>
    <w:rsid w:val="00B621A2"/>
    <w:rPr>
      <w:rFonts w:ascii="Times New Roman" w:hAnsi="Times New Roman"/>
      <w:szCs w:val="24"/>
    </w:rPr>
  </w:style>
  <w:style w:type="paragraph" w:customStyle="1" w:styleId="StyleNormalLeftLinespacingsingle">
    <w:name w:val="Style Normal Left + Line spacing:  single"/>
    <w:basedOn w:val="NormalLeft"/>
    <w:rsid w:val="006320FA"/>
    <w:pPr>
      <w:spacing w:line="240" w:lineRule="auto"/>
    </w:pPr>
    <w:rPr>
      <w:iCs w:val="0"/>
      <w:szCs w:val="20"/>
    </w:rPr>
  </w:style>
  <w:style w:type="paragraph" w:customStyle="1" w:styleId="OrderingParagraph">
    <w:name w:val="Ordering Paragraph"/>
    <w:basedOn w:val="Normal"/>
    <w:qFormat/>
    <w:rsid w:val="00B40272"/>
    <w:pPr>
      <w:numPr>
        <w:numId w:val="11"/>
      </w:numPr>
      <w:spacing w:after="360"/>
      <w:ind w:left="720" w:hanging="720"/>
    </w:pPr>
  </w:style>
  <w:style w:type="character" w:customStyle="1" w:styleId="FootnoteTextChar">
    <w:name w:val="Footnote Text Char"/>
    <w:link w:val="FootnoteText"/>
    <w:semiHidden/>
    <w:rsid w:val="00380D03"/>
    <w:rPr>
      <w:rFonts w:ascii="Arial" w:hAnsi="Arial"/>
    </w:rPr>
  </w:style>
  <w:style w:type="character" w:styleId="CommentReference">
    <w:name w:val="annotation reference"/>
    <w:uiPriority w:val="99"/>
    <w:semiHidden/>
    <w:unhideWhenUsed/>
    <w:rsid w:val="00842CE9"/>
    <w:rPr>
      <w:sz w:val="16"/>
      <w:szCs w:val="16"/>
    </w:rPr>
  </w:style>
  <w:style w:type="paragraph" w:styleId="CommentText">
    <w:name w:val="annotation text"/>
    <w:basedOn w:val="Normal"/>
    <w:link w:val="CommentTextChar"/>
    <w:uiPriority w:val="99"/>
    <w:unhideWhenUsed/>
    <w:rsid w:val="00842CE9"/>
    <w:rPr>
      <w:sz w:val="20"/>
    </w:rPr>
  </w:style>
  <w:style w:type="character" w:customStyle="1" w:styleId="CommentTextChar">
    <w:name w:val="Comment Text Char"/>
    <w:link w:val="CommentText"/>
    <w:uiPriority w:val="99"/>
    <w:rsid w:val="00842CE9"/>
    <w:rPr>
      <w:rFonts w:ascii="Arial" w:hAnsi="Arial"/>
    </w:rPr>
  </w:style>
  <w:style w:type="paragraph" w:styleId="CommentSubject">
    <w:name w:val="annotation subject"/>
    <w:basedOn w:val="CommentText"/>
    <w:next w:val="CommentText"/>
    <w:link w:val="CommentSubjectChar"/>
    <w:uiPriority w:val="99"/>
    <w:semiHidden/>
    <w:unhideWhenUsed/>
    <w:rsid w:val="00842CE9"/>
    <w:rPr>
      <w:b/>
      <w:bCs/>
    </w:rPr>
  </w:style>
  <w:style w:type="character" w:customStyle="1" w:styleId="CommentSubjectChar">
    <w:name w:val="Comment Subject Char"/>
    <w:link w:val="CommentSubject"/>
    <w:uiPriority w:val="99"/>
    <w:semiHidden/>
    <w:rsid w:val="00842CE9"/>
    <w:rPr>
      <w:rFonts w:ascii="Arial" w:hAnsi="Arial"/>
      <w:b/>
      <w:bCs/>
    </w:rPr>
  </w:style>
  <w:style w:type="paragraph" w:styleId="ListParagraph">
    <w:name w:val="List Paragraph"/>
    <w:basedOn w:val="Normal"/>
    <w:uiPriority w:val="34"/>
    <w:qFormat/>
    <w:rsid w:val="005E61E8"/>
    <w:pPr>
      <w:ind w:left="720"/>
    </w:pPr>
  </w:style>
  <w:style w:type="paragraph" w:styleId="Revision">
    <w:name w:val="Revision"/>
    <w:hidden/>
    <w:uiPriority w:val="99"/>
    <w:semiHidden/>
    <w:rsid w:val="00560A67"/>
    <w:rPr>
      <w:rFonts w:ascii="Arial" w:hAnsi="Arial"/>
      <w:sz w:val="24"/>
    </w:rPr>
  </w:style>
  <w:style w:type="paragraph" w:styleId="NoSpacing">
    <w:name w:val="No Spacing"/>
    <w:uiPriority w:val="1"/>
    <w:qFormat/>
    <w:rsid w:val="004A7000"/>
    <w:pPr>
      <w:ind w:firstLine="720"/>
    </w:pPr>
    <w:rPr>
      <w:rFonts w:ascii="Arial" w:hAnsi="Arial"/>
      <w:sz w:val="24"/>
    </w:rPr>
  </w:style>
  <w:style w:type="character" w:styleId="Mention">
    <w:name w:val="Mention"/>
    <w:basedOn w:val="DefaultParagraphFont"/>
    <w:uiPriority w:val="99"/>
    <w:unhideWhenUsed/>
    <w:rsid w:val="00C91B58"/>
    <w:rPr>
      <w:color w:val="2B579A"/>
      <w:shd w:val="clear" w:color="auto" w:fill="E1DFDD"/>
    </w:rPr>
  </w:style>
  <w:style w:type="character" w:styleId="UnresolvedMention">
    <w:name w:val="Unresolved Mention"/>
    <w:basedOn w:val="DefaultParagraphFont"/>
    <w:uiPriority w:val="99"/>
    <w:semiHidden/>
    <w:unhideWhenUsed/>
    <w:rsid w:val="00550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3943">
      <w:bodyDiv w:val="1"/>
      <w:marLeft w:val="0"/>
      <w:marRight w:val="0"/>
      <w:marTop w:val="0"/>
      <w:marBottom w:val="0"/>
      <w:divBdr>
        <w:top w:val="none" w:sz="0" w:space="0" w:color="auto"/>
        <w:left w:val="none" w:sz="0" w:space="0" w:color="auto"/>
        <w:bottom w:val="none" w:sz="0" w:space="0" w:color="auto"/>
        <w:right w:val="none" w:sz="0" w:space="0" w:color="auto"/>
      </w:divBdr>
    </w:div>
    <w:div w:id="141436213">
      <w:bodyDiv w:val="1"/>
      <w:marLeft w:val="0"/>
      <w:marRight w:val="0"/>
      <w:marTop w:val="0"/>
      <w:marBottom w:val="0"/>
      <w:divBdr>
        <w:top w:val="none" w:sz="0" w:space="0" w:color="auto"/>
        <w:left w:val="none" w:sz="0" w:space="0" w:color="auto"/>
        <w:bottom w:val="none" w:sz="0" w:space="0" w:color="auto"/>
        <w:right w:val="none" w:sz="0" w:space="0" w:color="auto"/>
      </w:divBdr>
    </w:div>
    <w:div w:id="173305183">
      <w:bodyDiv w:val="1"/>
      <w:marLeft w:val="0"/>
      <w:marRight w:val="0"/>
      <w:marTop w:val="0"/>
      <w:marBottom w:val="0"/>
      <w:divBdr>
        <w:top w:val="none" w:sz="0" w:space="0" w:color="auto"/>
        <w:left w:val="none" w:sz="0" w:space="0" w:color="auto"/>
        <w:bottom w:val="none" w:sz="0" w:space="0" w:color="auto"/>
        <w:right w:val="none" w:sz="0" w:space="0" w:color="auto"/>
      </w:divBdr>
    </w:div>
    <w:div w:id="285085407">
      <w:bodyDiv w:val="1"/>
      <w:marLeft w:val="0"/>
      <w:marRight w:val="0"/>
      <w:marTop w:val="0"/>
      <w:marBottom w:val="0"/>
      <w:divBdr>
        <w:top w:val="none" w:sz="0" w:space="0" w:color="auto"/>
        <w:left w:val="none" w:sz="0" w:space="0" w:color="auto"/>
        <w:bottom w:val="none" w:sz="0" w:space="0" w:color="auto"/>
        <w:right w:val="none" w:sz="0" w:space="0" w:color="auto"/>
      </w:divBdr>
    </w:div>
    <w:div w:id="508063152">
      <w:bodyDiv w:val="1"/>
      <w:marLeft w:val="0"/>
      <w:marRight w:val="0"/>
      <w:marTop w:val="0"/>
      <w:marBottom w:val="0"/>
      <w:divBdr>
        <w:top w:val="none" w:sz="0" w:space="0" w:color="auto"/>
        <w:left w:val="none" w:sz="0" w:space="0" w:color="auto"/>
        <w:bottom w:val="none" w:sz="0" w:space="0" w:color="auto"/>
        <w:right w:val="none" w:sz="0" w:space="0" w:color="auto"/>
      </w:divBdr>
    </w:div>
    <w:div w:id="637682318">
      <w:bodyDiv w:val="1"/>
      <w:marLeft w:val="0"/>
      <w:marRight w:val="0"/>
      <w:marTop w:val="0"/>
      <w:marBottom w:val="0"/>
      <w:divBdr>
        <w:top w:val="none" w:sz="0" w:space="0" w:color="auto"/>
        <w:left w:val="none" w:sz="0" w:space="0" w:color="auto"/>
        <w:bottom w:val="none" w:sz="0" w:space="0" w:color="auto"/>
        <w:right w:val="none" w:sz="0" w:space="0" w:color="auto"/>
      </w:divBdr>
    </w:div>
    <w:div w:id="1088649731">
      <w:bodyDiv w:val="1"/>
      <w:marLeft w:val="0"/>
      <w:marRight w:val="0"/>
      <w:marTop w:val="0"/>
      <w:marBottom w:val="0"/>
      <w:divBdr>
        <w:top w:val="none" w:sz="0" w:space="0" w:color="auto"/>
        <w:left w:val="none" w:sz="0" w:space="0" w:color="auto"/>
        <w:bottom w:val="none" w:sz="0" w:space="0" w:color="auto"/>
        <w:right w:val="none" w:sz="0" w:space="0" w:color="auto"/>
      </w:divBdr>
    </w:div>
    <w:div w:id="1119758733">
      <w:bodyDiv w:val="1"/>
      <w:marLeft w:val="0"/>
      <w:marRight w:val="0"/>
      <w:marTop w:val="0"/>
      <w:marBottom w:val="0"/>
      <w:divBdr>
        <w:top w:val="none" w:sz="0" w:space="0" w:color="auto"/>
        <w:left w:val="none" w:sz="0" w:space="0" w:color="auto"/>
        <w:bottom w:val="none" w:sz="0" w:space="0" w:color="auto"/>
        <w:right w:val="none" w:sz="0" w:space="0" w:color="auto"/>
      </w:divBdr>
    </w:div>
    <w:div w:id="1344936654">
      <w:bodyDiv w:val="1"/>
      <w:marLeft w:val="0"/>
      <w:marRight w:val="0"/>
      <w:marTop w:val="0"/>
      <w:marBottom w:val="0"/>
      <w:divBdr>
        <w:top w:val="none" w:sz="0" w:space="0" w:color="auto"/>
        <w:left w:val="none" w:sz="0" w:space="0" w:color="auto"/>
        <w:bottom w:val="none" w:sz="0" w:space="0" w:color="auto"/>
        <w:right w:val="none" w:sz="0" w:space="0" w:color="auto"/>
      </w:divBdr>
    </w:div>
    <w:div w:id="1573351677">
      <w:bodyDiv w:val="1"/>
      <w:marLeft w:val="0"/>
      <w:marRight w:val="0"/>
      <w:marTop w:val="0"/>
      <w:marBottom w:val="0"/>
      <w:divBdr>
        <w:top w:val="none" w:sz="0" w:space="0" w:color="auto"/>
        <w:left w:val="none" w:sz="0" w:space="0" w:color="auto"/>
        <w:bottom w:val="none" w:sz="0" w:space="0" w:color="auto"/>
        <w:right w:val="none" w:sz="0" w:space="0" w:color="auto"/>
      </w:divBdr>
    </w:div>
    <w:div w:id="1586840960">
      <w:bodyDiv w:val="1"/>
      <w:marLeft w:val="0"/>
      <w:marRight w:val="0"/>
      <w:marTop w:val="0"/>
      <w:marBottom w:val="0"/>
      <w:divBdr>
        <w:top w:val="none" w:sz="0" w:space="0" w:color="auto"/>
        <w:left w:val="none" w:sz="0" w:space="0" w:color="auto"/>
        <w:bottom w:val="none" w:sz="0" w:space="0" w:color="auto"/>
        <w:right w:val="none" w:sz="0" w:space="0" w:color="auto"/>
      </w:divBdr>
    </w:div>
    <w:div w:id="1611014922">
      <w:bodyDiv w:val="1"/>
      <w:marLeft w:val="0"/>
      <w:marRight w:val="0"/>
      <w:marTop w:val="0"/>
      <w:marBottom w:val="0"/>
      <w:divBdr>
        <w:top w:val="none" w:sz="0" w:space="0" w:color="auto"/>
        <w:left w:val="none" w:sz="0" w:space="0" w:color="auto"/>
        <w:bottom w:val="none" w:sz="0" w:space="0" w:color="auto"/>
        <w:right w:val="none" w:sz="0" w:space="0" w:color="auto"/>
      </w:divBdr>
    </w:div>
    <w:div w:id="1619605761">
      <w:bodyDiv w:val="1"/>
      <w:marLeft w:val="0"/>
      <w:marRight w:val="0"/>
      <w:marTop w:val="0"/>
      <w:marBottom w:val="0"/>
      <w:divBdr>
        <w:top w:val="none" w:sz="0" w:space="0" w:color="auto"/>
        <w:left w:val="none" w:sz="0" w:space="0" w:color="auto"/>
        <w:bottom w:val="none" w:sz="0" w:space="0" w:color="auto"/>
        <w:right w:val="none" w:sz="0" w:space="0" w:color="auto"/>
      </w:divBdr>
    </w:div>
    <w:div w:id="172590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C1CEF-AF90-4F7A-B90D-999CA8D2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3605</Words>
  <Characters>20963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2023-01-25T18:59:00Z</dcterms:created>
  <dcterms:modified xsi:type="dcterms:W3CDTF">2023-01-25T18:59:00Z</dcterms:modified>
</cp:coreProperties>
</file>